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EntschFinV — Rahmenvertrag über Zahlungsverpflichtungen</w:t>
      </w:r>
    </w:p>
    <w:p>
      <w:r>
        <w:rPr>
          <w:color w:val="555555"/>
          <w:sz w:val="18"/>
        </w:rPr>
        <w:t xml:space="preserve">Entschädigungseinrichtungs-Finanzierungsverordnung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Rahmenvertrag bildet die Grundlage für den Abschluss von Verträgen über die Übernahme von Zahlungsverpflichtungen nach § 22 in den einzelnen Abrechnungsjahren. Im Rahmenvertrag sind der Inhalt der Verträge und das Verfahren zum Abschluss der Verträge zu regeln.</w:t>
      </w:r>
    </w:p>
    <w:p>
      <w:r>
        <w:t xml:space="preserve">(2) Die Entschädigungseinrichtung verwendet für den Rahmenvertrag ein einheitliches Vertragsmuster. Das Vertragsmuster ist der Bundesanstalt anzuzeigen.</w:t>
      </w:r>
    </w:p>
    <w:p>
      <w:r>
        <w:t xml:space="preserve">(3) Der Rahmenvertrag ist von den gesetzlichen Vertretern des CRR-Kreditinstituts zu unterzeichnen. Das CRR-Kreditinstitut hat der Entschädigungseinrichtung die Vertretungsbefugnis der für sie handelnden Personen in geeigneter Weise nachzuweisen. Soweit die Verträge über Zahlungsverpflichtungen nach § 22 auf Seiten des CRR-Kreditinstituts nicht von den gesetzlichen Vertretern des CRR-Kreditinstituts abgeschlossen werden sollen, sind die vertretungsberechtigten Personen im Rahmenvertrag zu bestimmen.</w:t>
      </w:r>
    </w:p>
    <w:p>
      <w:r>
        <w:rPr>
          <w:color w:val="555555"/>
          <w:sz w:val="17"/>
        </w:rPr>
        <w:t xml:space="preserve">Zitiervorschlag: § 21 EntschFinV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https://recht.nulegal.eu/gesetze/EntschFinV/21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