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EntschFinV — Voraussetzungen für die Übernahme von Zahlungsverpflichtungen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Übernahme einer Zahlungsverpflichtung in einem Abrechnungsjahr setzt voraus, dass ein CRR-Kreditinstitut</w:t>
      </w:r>
    </w:p>
    <w:p>
      <w:pPr>
        <w:ind w:left="420"/>
      </w:pPr>
      <w:r>
        <w:t xml:space="preserve">1. mit der Entschädigungseinrichtung einen Rahmenvertrag über Zahlungsverpflichtungen nach § 21 und einen Rahmenvertrag über Finanzsicherheiten nach § 27 abgeschlossen hat, die einmalig, spätestens aber bis zum 30. Juni eines Abrechnungsjahres abzuschließen sind, und</w:t>
      </w:r>
    </w:p>
    <w:p>
      <w:pPr>
        <w:ind w:left="420"/>
      </w:pPr>
      <w:r>
        <w:t xml:space="preserve">2. bis spätestens zum 1. September des jeweiligen Abrechnungsjahres mit der Entschädigungseinrichtung für das Abrechnungsjahr die Übernahme einer Zahlungsverpflichtung nach § 22 vereinbart und die Zahlungsverpflichtung durch Leistung von Finanzsicherheiten nach Maßgabe des § 26 abgesichert hat.</w:t>
      </w:r>
    </w:p>
    <w:p>
      <w:r>
        <w:t xml:space="preserve">Die in Satz 1 genannten Fristen sind Ausschlussfristen. Ein CRR-Kreditinstitut ist nicht verpflichtet, eine Zahlungsverpflichtung zu erbringen.</w:t>
      </w:r>
    </w:p>
    <w:p>
      <w:r>
        <w:rPr>
          <w:color w:val="555555"/>
          <w:sz w:val="17"/>
        </w:rPr>
        <w:t xml:space="preserve">Zitiervorschlag: § 20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