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EntschFinV — Begriffsbestimmungen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Gedeckte Einlagen eines CRR-Kreditinstituts im Sinne dieser Verordnung sind die nach § 8 Absatz 1 des Einlagensicherungsgesetzes gedeckten Einlagen.</w:t>
      </w:r>
    </w:p>
    <w:p>
      <w:r>
        <w:t xml:space="preserve">(2) Zahlungsverpflichtungen im Sinne dieser Verordnung sind die vertraglich begründeten Zahlungspflichten der CRR-Kreditinstitute, die als verfügbare Finanzmittel der Entschädigungseinrichtung nach § 18 Absatz 2 des Einlagensicherungsgesetzes berücksichtigt werden können.</w:t>
      </w:r>
    </w:p>
    <w:p>
      <w:r>
        <w:t xml:space="preserve">(3) Finanzsicherheiten im Sinne dieser Verordnung sind risikoarme Schuldtitel oder Barsicherheiten.</w:t>
      </w:r>
    </w:p>
    <w:p>
      <w:r>
        <w:t xml:space="preserve">(4) Risikoarme Schuldtitel im Sinne dieser Verordnung sind Vermögenswerte im Sinne des § 18 Absatz 1 Satz 2 des Einlagensicherungsgesetzes, die nach § 28 Absatz 1 als Finanzsicherheiten für Zahlungsverpflichtungen zugelassen sind.</w:t>
      </w:r>
    </w:p>
    <w:p>
      <w:r>
        <w:t xml:space="preserve">(5) Barsicherheiten im Sinne dieser Verordnung sind Barsicherheiten im Sinne des Artikels 2 Absatz 1 Buchstabe d der Richtlinie 2002/47/EG des Europäischen Parlaments und des Rates vom 6. Juni 2002 über Finanzsicherheiten (ABl. L 168 vom 27.6.2002, S. 43), die durch die Richtlinie 2014/59/EU (ABl. L 173 vom 12.6.2014, S. 190) geändert worden ist, soweit diese Barsicherheiten nach § 28 Absatz 1 als Finanzsicherheit für Zahlungsverpflichtungen zugelassen sind.</w:t>
      </w:r>
    </w:p>
    <w:p>
      <w:r>
        <w:rPr>
          <w:color w:val="555555"/>
          <w:sz w:val="17"/>
        </w:rPr>
        <w:t xml:space="preserve">Zitiervorschlag: § 2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