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EntschFinV — Ausschlussfrist</w:t>
      </w:r>
    </w:p>
    <w:p>
      <w:r>
        <w:rPr>
          <w:color w:val="555555"/>
          <w:sz w:val="18"/>
        </w:rPr>
        <w:t xml:space="preserve">Entschädigungseinrichtungs-Finanzierungsverordnung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Daten und Unterlagen, die nach dem 31. Dezember des jeweils folgenden Abrechnungsjahres vorgelegt werden, berücksichtigt die Entschädigungseinrichtung für die Zwecke der Beitragsbemessung zu Gunsten der CRR-Kreditinstitute nicht mehr.</w:t>
      </w:r>
    </w:p>
    <w:p>
      <w:r>
        <w:t xml:space="preserve">(2) Die in Absatz 1 genannte Frist ist eine Ausschlussfrist.</w:t>
      </w:r>
    </w:p>
    <w:p>
      <w:r>
        <w:rPr>
          <w:color w:val="555555"/>
          <w:sz w:val="17"/>
        </w:rPr>
        <w:t xml:space="preserve">Zitiervorschlag: § 17 EntschFinV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https://recht.nulegal.eu/gesetze/EntschFinV/17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