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EntschFinV — Vorlage- und Nachweispflichten</w:t>
      </w:r>
    </w:p>
    <w:p>
      <w:r>
        <w:rPr>
          <w:color w:val="555555"/>
          <w:sz w:val="18"/>
        </w:rPr>
        <w:t xml:space="preserve">Entschädigungseinrichtungs-Finanzierungsverordnung</w:t>
      </w:r>
    </w:p>
    <w:p>
      <w:r>
        <w:rPr>
          <w:color w:val="555555"/>
          <w:sz w:val="18"/>
        </w:rPr>
        <w:t xml:space="preserve">Stand: 22.11.2024 (konsolidierte Textfassung, kein amtliches Inkrafttretensdatum)</w:t>
      </w:r>
    </w:p>
    <w:p>
      <w:r>
        <w:t xml:space="preserve">(1) Die Entschädigungseinrichtung bestimmt die Modalitäten der nach § 17 Absatz 4 des Einlagensicherungsgesetzes vorgeschriebenen Meldung zur Höhe der gedeckten Einlagen und veröffentlicht sie auf ihrer Internetseite. Die CRR-Kreditinstitute haben der Entschädigungseinrichtung die sachliche und rechnerische Richtigkeit der übermittelten Informationen zu bestätigen. Die Entschädigungseinrichtung kann die Richtigkeit der Meldung prüfen.</w:t>
      </w:r>
    </w:p>
    <w:p>
      <w:r>
        <w:t xml:space="preserve">(2) CRR-Kreditinstitute sind verpflichtet, der Entschädigungseinrichtung zur Bemessung des Jahresbeitrags zum 30. Juni des jeweiligen Abrechnungsjahres folgende Daten und Unterlagen zu übermitteln:</w:t>
      </w:r>
    </w:p>
    <w:p>
      <w:pPr>
        <w:ind w:left="420"/>
      </w:pPr>
      <w:r>
        <w:t xml:space="preserve">1. den Jahresabschluss im Sinne des § 26 Absatz 1 Satz 1 und 2 des Kreditwesengesetzes des Geschäftsjahres, das vor dem 1. März des jeweiligen Abrechnungsjahres abgeschlossen worden ist,</w:t>
      </w:r>
    </w:p>
    <w:p>
      <w:pPr>
        <w:ind w:left="420"/>
      </w:pPr>
      <w:r>
        <w:t xml:space="preserve">2. die Meldungen nach den Vorgaben der Durchführungsverordnung (EU) 2021/451 der Kommission vom 17. Dezember 2020 zur Festlegung technischer Durchführungsstandards für die Anwendung der Verordnung (EU) Nr. 575/2013 des Europäischen Parlaments und des Rates auf die aufsichtlichen Meldungen der Institute und zur Aufhebung der Durchführungsverordnung (EU) Nr. 680/2014 (ABl. L 97 vom 19.3.2021, S. 1) in der jeweils geltenden Fassung zum Bilanzstichtag des Geschäftsjahres, das vor dem 1. März des jeweiligen Abrechnungsjahres abgeschlossen worden ist,</w:t>
      </w:r>
    </w:p>
    <w:p>
      <w:pPr>
        <w:ind w:left="420"/>
      </w:pPr>
      <w:r>
        <w:t xml:space="preserve">3. den Übersichtsbogen zu den Eigenmitteln gemäß Artikel 72 der Verordnung (EU) Nr. 575/2013 in Verbindung mit § 10a des Kreditwesengesetzes zum Bilanzstichtag des Geschäftsjahres, das vor dem 1. März des jeweiligen Abrechnungsjahres abgeschlossen worden ist, sowie</w:t>
      </w:r>
    </w:p>
    <w:p>
      <w:pPr>
        <w:ind w:left="420"/>
      </w:pPr>
      <w:r>
        <w:t xml:space="preserve">4. den ausgefüllten Fragebogen der Entschädigungseinrichtung zur Erhebung ergänzender Angaben zum Bilanzstichtag des Geschäftsjahres, das vor dem 1. März des jeweiligen Abrechnungsjahres abgeschlossen worden ist.</w:t>
      </w:r>
    </w:p>
    <w:p>
      <w:r>
        <w:t xml:space="preserve">(3) CRR-Kreditinstitute sind verpflichtet, der Entschädigungseinrichtung zusätzlich folgende Daten und Unterlagen bis zum 30. Juni des jeweiligen Abrechnungsjahres zu übermitteln:</w:t>
      </w:r>
    </w:p>
    <w:p>
      <w:pPr>
        <w:ind w:left="420"/>
      </w:pPr>
      <w:r>
        <w:t xml:space="preserve">1. die Vermögensübersicht mit Aufwands- und Ertragsrechnung und für Zweigstellen von Unternehmen mit Sitz im Ausland den Anhang gemäß § 53 Absatz 2 Nummer 2 des Kreditwesengesetzes und</w:t>
      </w:r>
    </w:p>
    <w:p>
      <w:pPr>
        <w:ind w:left="420"/>
      </w:pPr>
      <w:r>
        <w:t xml:space="preserve">2. zur Erstellung der Risikoeinschätzung alle auf sie bezogenen aktuellen Ratings oder die zur Vorlage bei der Entschädigungseinrichtung eingeholten Ratings im Sinne des § 10.</w:t>
      </w:r>
    </w:p>
    <w:p>
      <w:r>
        <w:t xml:space="preserve">(4) Die Unterlagen nach Absatz 2 Nummer 1 und Absatz 3 Nummer 1 müssen mit einem uneingeschränkten Bestätigungsvermerk des Abschlussprüfers versehen sein. Ein Jahresabschluss oder eine Vermögensübersicht mit eingeschränktem Bestätigungsvermerk wird von der Entschädigungseinrichtung nur berücksichtigt, wenn sich die Einwendungen des Abschlussprüfers nicht auf die Risikoindikatoren und Risikokategorien beziehen, die für die Risikoeinschätzung nach den §§ 8 bis 10 sowie nach der Anlage 1 maßgeblich sind.</w:t>
      </w:r>
    </w:p>
    <w:p>
      <w:r>
        <w:t xml:space="preserve">(5) Die Absätze 2 bis 4 gelten nicht für neu gegründete CRR-Kreditinstitute, deren aggregiertes Risikogewicht sich nach § 8 Absatz 3 richtet.</w:t>
      </w:r>
    </w:p>
    <w:p>
      <w:r>
        <w:t xml:space="preserve">(6) Die Pflichten nach Absatz 2 bis 4 bestehen auch nach Erreichen der Zielausstattung gemäß § 17 Absatz 2 Satz 1 des Einlagensicherungsgesetzes.</w:t>
      </w:r>
    </w:p>
    <w:p>
      <w:r>
        <w:t xml:space="preserve">(7) CRR-Kreditinstitute, bei denen zum Stand vom 31. Dezember des Vorjahres keine gedeckten Einlagen vorhanden waren, sind von der Pflicht zur Übermittlung der Daten und Unterlagen gemäß § 15 Absatz 2 Nummer 2 bis 4 und gemäß § 15 Absatz 3 Nummer 2 befreit.</w:t>
      </w:r>
    </w:p>
    <w:p>
      <w:r>
        <w:rPr>
          <w:color w:val="555555"/>
          <w:sz w:val="17"/>
        </w:rPr>
        <w:t xml:space="preserve">Zitiervorschlag: § 15 EntschFinV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https://recht.nulegal.eu/gesetze/EntschFinV/15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