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EntschFinV — Bemessung und Fälligkeit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einmalige Zahlung beträgt 0,2 Prozent der gedeckten Einlagen, die bei dem CRR-Kreditinstitut am 31. Dezember des Vorjahres vorhanden waren, mindestens jedoch 25 000 Euro.</w:t>
      </w:r>
    </w:p>
    <w:p>
      <w:r>
        <w:t xml:space="preserve">(2) Die einmalige Zahlung wird mit der Bekanntgabe des Bescheids fällig.</w:t>
      </w:r>
    </w:p>
    <w:p>
      <w:r>
        <w:rPr>
          <w:color w:val="555555"/>
          <w:sz w:val="17"/>
        </w:rPr>
        <w:t xml:space="preserve">Zitiervorschlag: § 14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