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EntschFinV — Anwendungsbereich und Verordnungsgegenstand</w:t>
      </w:r>
    </w:p>
    <w:p>
      <w:r>
        <w:rPr>
          <w:color w:val="555555"/>
          <w:sz w:val="18"/>
        </w:rPr>
        <w:t xml:space="preserve">Entschädigungseinrichtungs-Finanzierungsverordnung</w:t>
      </w:r>
    </w:p>
    <w:p>
      <w:r>
        <w:rPr>
          <w:color w:val="555555"/>
          <w:sz w:val="18"/>
        </w:rPr>
        <w:t xml:space="preserve">Stand: 01.06.2022 (konsolidierte Textfassung, kein amtliches Inkrafttretensdatum)</w:t>
      </w:r>
    </w:p>
    <w:p>
      <w:r>
        <w:t xml:space="preserve">(1) Diese Verordnung gilt für die Entschädigungseinrichtung deutscher Banken GmbH sowie für CRR-Kreditinstitute im Sinne des § 1 des Einlagensicherungsgesetzes, die dieser Entschädigungseinrichtung zugeordnet sind.</w:t>
      </w:r>
    </w:p>
    <w:p>
      <w:r>
        <w:t xml:space="preserve">(2) Diese Verordnung regelt das Nähere über die Finanzierung der Entschädigungseinrichtung und trifft nähere Bestimmungen über</w:t>
      </w:r>
    </w:p>
    <w:p>
      <w:pPr>
        <w:ind w:left="420"/>
      </w:pPr>
      <w:r>
        <w:t xml:space="preserve">1. die Methoden der Beitragsbemessung nach § 19 Absatz 2 bis 4 des Einlagensicherungsgesetzes,</w:t>
      </w:r>
    </w:p>
    <w:p>
      <w:pPr>
        <w:ind w:left="420"/>
      </w:pPr>
      <w:r>
        <w:t xml:space="preserve">2. die Berechnung und Erhebung der Beiträge und Zahlungen,</w:t>
      </w:r>
    </w:p>
    <w:p>
      <w:pPr>
        <w:ind w:left="420"/>
      </w:pPr>
      <w:r>
        <w:t xml:space="preserve">3. die Erhebung von Verzugszinsen für verspätet geleistete Beiträge und Zahlungen sowie</w:t>
      </w:r>
    </w:p>
    <w:p>
      <w:pPr>
        <w:ind w:left="420"/>
      </w:pPr>
      <w:r>
        <w:t xml:space="preserve">4. die Berücksichtigung von Zahlungsverpflichtungen und dazugehörigen Finanzsicherheiten.</w:t>
      </w:r>
    </w:p>
    <w:p>
      <w:r>
        <w:rPr>
          <w:color w:val="555555"/>
          <w:sz w:val="17"/>
        </w:rPr>
        <w:t xml:space="preserve">Zitiervorschlag: § 1 EntschFinV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https://recht.nulegal.eu/gesetze/EntschFinV/1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