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EntschBVöffBankV</w:t>
      </w:r>
    </w:p>
    <w:p>
      <w:r>
        <w:rPr>
          <w:color w:val="555555"/>
          <w:sz w:val="18"/>
        </w:rPr>
        <w:t xml:space="preserve">Verordnung über die Zuweisung von Aufgaben und Befugnissen einer Entschädigungseinrichtung an die Entschädigungseinrichtung des Bundesverbandes Öffentlicher Banken Deutschlands GmbH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Entschädigungseinrichtung des Bundesverbandes Öffentlicher Banken Deutschlands GmbH hat dem Bundesministerium der Finanzen Änderungen des Gesellschaftsvertrags zur Genehmigung vorzulegen.</w:t>
      </w:r>
    </w:p>
    <w:p>
      <w:r>
        <w:rPr>
          <w:color w:val="555555"/>
          <w:sz w:val="17"/>
        </w:rPr>
        <w:t xml:space="preserve">Zitiervorschlag: § 2 EntschBVöffBankV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https://recht.nulegal.eu/gesetze/EntschBV%C3%B6ffBankV/2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