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EntgTranspG — Maßregelungsverbot</w:t>
      </w:r>
    </w:p>
    <w:p>
      <w:r>
        <w:rPr>
          <w:color w:val="555555"/>
          <w:sz w:val="18"/>
        </w:rPr>
        <w:t xml:space="preserve">Entgelttransparenzgesetz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darf Beschäftigte nicht wegen der Inanspruchnahme von Rechten nach diesem Gesetz benachteiligen. Gleiches gilt für Personen, welche die Beschäftigten hierbei unterstützen oder als Zeuginnen oder Zeugen aussagen. § 16 des Allgemeinen Gleichbehandlungsgesetzes bleibt unberührt.</w:t>
      </w:r>
    </w:p>
    <w:p>
      <w:r>
        <w:rPr>
          <w:color w:val="555555"/>
          <w:sz w:val="17"/>
        </w:rPr>
        <w:t xml:space="preserve">Zitiervorschlag: § 9 EntgTranspG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https://recht.nulegal.eu/gesetze/EntgTranspG/9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