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EntgTranspG — Entgeltgleichheitsgebot</w:t>
      </w:r>
    </w:p>
    <w:p>
      <w:r>
        <w:rPr>
          <w:color w:val="555555"/>
          <w:sz w:val="18"/>
        </w:rPr>
        <w:t xml:space="preserve">Entgelttransparenzgesetz</w:t>
      </w:r>
    </w:p>
    <w:p>
      <w:r>
        <w:rPr>
          <w:color w:val="555555"/>
          <w:sz w:val="18"/>
        </w:rPr>
        <w:t xml:space="preserve">Stand: 10.06.2019 (konsolidierte Textfassung, kein amtliches Inkrafttretensdatum)</w:t>
      </w:r>
    </w:p>
    <w:p>
      <w:r>
        <w:t xml:space="preserve">Bei Beschäftigungsverhältnissen darf für gleiche oder für gleichwertige Arbeit nicht wegen des Geschlechts der oder des Beschäftigten ein geringeres Entgelt vereinbart oder gezahlt werden als bei einer oder einem Beschäftigten des anderen Geschlechts.</w:t>
      </w:r>
    </w:p>
    <w:p>
      <w:r>
        <w:rPr>
          <w:color w:val="555555"/>
          <w:sz w:val="17"/>
        </w:rPr>
        <w:t xml:space="preserve">Zitiervorschlag: § 7 EntgTranspG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https://recht.nulegal.eu/gesetze/EntgTranspG/7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