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 EntgTranspG — Evaluation und Berichterstattung</w:t>
      </w:r>
    </w:p>
    <w:p>
      <w:r>
        <w:rPr>
          <w:color w:val="555555"/>
          <w:sz w:val="18"/>
        </w:rPr>
        <w:t xml:space="preserve">Entgelttransparenzgesetz</w:t>
      </w:r>
    </w:p>
    <w:p>
      <w:r>
        <w:rPr>
          <w:color w:val="555555"/>
          <w:sz w:val="18"/>
        </w:rPr>
        <w:t xml:space="preserve">Stand: 10.06.2019 (konsolidierte Textfassung, kein amtliches Inkrafttretensdatum)</w:t>
      </w:r>
    </w:p>
    <w:p>
      <w:r>
        <w:t xml:space="preserve">(1) Die Bundesregierung evaluiert nach Inkrafttreten dieses Gesetzes laufend die Wirksamkeit dieses Gesetzes und informiert alle vier Jahre, erstmals zwei Jahre nach Inkrafttreten, über die Ergebnisse. Die Evaluation hat die Umsetzung des Gebots des gleichen Entgelts für Frauen und Männer bei gleicher oder gleichwertiger Arbeit in allen Betriebs- und Unternehmensformen und -größen darzustellen, die unter den Anwendungsbereich des Abschnittes 2 dieses Gesetzes unterfallen.</w:t>
      </w:r>
    </w:p>
    <w:p>
      <w:r>
        <w:t xml:space="preserve">(2) Über die Entwicklung des Gebots des gleichen Entgelts für Frauen und Männer bei gleicher oder gleichwertiger Arbeit in Betrieben mit in der Regel weniger als 200 Beschäftigten berichtet die Bundesregierung alle vier Jahre, erstmals zwei Jahre nach Inkrafttreten dieses Gesetzes.</w:t>
      </w:r>
    </w:p>
    <w:p>
      <w:r>
        <w:t xml:space="preserve">(3) Die Bundesregierung hat in die Evaluation nach Absatz 1 und in die Berichterstattung nach Absatz 2 die Stellungnahme der Sozialpartner miteinzubeziehen.</w:t>
      </w:r>
    </w:p>
    <w:p>
      <w:r>
        <w:rPr>
          <w:color w:val="555555"/>
          <w:sz w:val="17"/>
        </w:rPr>
        <w:t xml:space="preserve">Zitiervorschlag: § 23 EntgTranspG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https://recht.nulegal.eu/gesetze/EntgTranspG/23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