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EntgTranspG — Berichtszeitraum und Veröffentlichung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Arbeitgeber nach § 21 Absatz 1, die tarifgebunden nach § 5 Absatz 4 sind oder die tarifanwendend nach § 5 Absatz 5 sind und die gemäß § 13 Absatz 5 erklärt haben, tarifliche Regelungen zum Entgelt nach § 5 Absatz 5 anzuwenden, erstellen den Bericht alle fünf Jahre. Der Berichtszeitraum umfasst die vergangenen fünf Jahre.</w:t>
      </w:r>
    </w:p>
    <w:p>
      <w:r>
        <w:t xml:space="preserve">(2) Alle anderen Arbeitgeber nach § 21 Absatz 1 erstellen den Bericht alle drei Jahre. Der Berichtszeitraum umfasst die vergangenen drei Jahre.</w:t>
      </w:r>
    </w:p>
    <w:p>
      <w:r>
        <w:t xml:space="preserve">(3) Die Angaben nach § 21 Absatz 2 beziehen sich nur auf das jeweils letzte Kalenderjahr im Berichtszeitraum. Ab dem zweiten Bericht sind für die genannten Angaben die Veränderungen im Vergleich zum letzten Bericht anzugeben.</w:t>
      </w:r>
    </w:p>
    <w:p>
      <w:r>
        <w:t xml:space="preserve">(4) Der Bericht nach § 21 ist dem nächsten Lagebericht nach § 289 des Handelsgesetzbuches, der dem jeweiligen Berichtszeitraum folgt, als Anlage beizufügen und im Unternehmensregister offenzulegen.</w:t>
      </w:r>
    </w:p>
    <w:p>
      <w:r>
        <w:rPr>
          <w:color w:val="555555"/>
          <w:sz w:val="17"/>
        </w:rPr>
        <w:t xml:space="preserve">Zitiervorschlag: § 22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