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EntgTranspG — Mitwirkung und Information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den Betriebsrat über die Planung des betrieblichen Prüfverfahrens rechtzeitig unter Vorlage der erforderlichen Unterlagen zu unterrichten.</w:t>
      </w:r>
    </w:p>
    <w:p>
      <w:r>
        <w:t xml:space="preserve">(2) Die Beschäftigten sind über die Ergebnisse des betrieblichen Prüfverfahrens zu informieren. § 43 Absatz 2 und § 53 Absatz 2 des Betriebsverfassungsgesetzes sind zu beachten.</w:t>
      </w:r>
    </w:p>
    <w:p>
      <w:r>
        <w:rPr>
          <w:color w:val="555555"/>
          <w:sz w:val="17"/>
        </w:rPr>
        <w:t xml:space="preserve">Zitiervorschlag: § 20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