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EntgTranspG — Anwendungsbereich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das Entgelt von Beschäftigten nach § 5 Absatz 2, die bei Arbeitgebern nach § 5 Absatz 3 beschäftigt sind, soweit durch dieses Gesetz nichts anderes bestimmt wird.</w:t>
      </w:r>
    </w:p>
    <w:p>
      <w:r>
        <w:t xml:space="preserve">(2) Das Allgemeine Gleichbehandlungsgesetz bleibt unberührt. Ebenfalls unberührt bleiben sonstige Benachteiligungsverbote und Gebote der Gleichbehandlung sowie öffentlich-rechtliche Vorschriften, die dem Schutz oder der Förderung bestimmter Personengruppen dienen.</w:t>
      </w:r>
    </w:p>
    <w:p>
      <w:r>
        <w:rPr>
          <w:color w:val="555555"/>
          <w:sz w:val="17"/>
        </w:rPr>
        <w:t xml:space="preserve">Zitiervorschlag: § 2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