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EntgTranspG — Durchführung betrieblicher Prüfverfahren</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In das betriebliche Prüfverfahren sind die Tätigkeiten einzubeziehen, die demselben Entgeltsystem unterliegen, unabhängig davon, welche individualrechtlichen, tarifvertraglichen und betrieblichen Rechtsgrundlagen zusammenwirken.</w:t>
      </w:r>
    </w:p>
    <w:p>
      <w:r>
        <w:t xml:space="preserve">(2) Betriebliche Prüfverfahren haben aus Bestandsaufnahme, Analyse und Ergebnisbericht zu bestehen. Der Arbeitgeber ist unter Berücksichtigung betrieblicher Mitwirkungsrechte frei in der Wahl von Analysemethoden und Arbeitsbewertungsverfahren. Es sind valide statistische Methoden zu verwenden. Die Daten sind nach Geschlecht aufzuschlüsseln. Dabei ist der Schutz personenbezogener Daten zu wahren.</w:t>
      </w:r>
    </w:p>
    <w:p>
      <w:r>
        <w:t xml:space="preserve">(3) Bestandsaufnahme und Analyse haben die aktuellen Entgeltregelungen, Entgeltbestandteile und Arbeitsbewertungsverfahren zu erfassen und diese und deren Anwendung im Hinblick auf die Einhaltung des Entgeltgleichheitsgebots im Sinne dieses Gesetzes auszuwerten. Dabei ist § 4 zu beachten. § 12 Absatz 1 und 2 ist sinngemäß anzuwenden. Bei gesetzlichen, bei tarifvertraglichen Entgeltregelungen und bei Entgeltregelungen, die auf einer bindenden Festsetzung nach § 19 Absatz 3 des Heimarbeitsgesetzes beruhen, besteht keine Verpflichtung zur Überprüfung der Gleichwertigkeit von Tätigkeiten. Auf kollektiv-rechtliche Entgeltregelungen der Kirchen oder der öffentlich-rechtlichen Religionsgesellschaften ist Satz 4 entsprechend anzuwenden.</w:t>
      </w:r>
    </w:p>
    <w:p>
      <w:r>
        <w:t xml:space="preserve">(4) Die Ergebnisse von Bestandsaufnahme und Analyse werden zusammengefasst und können betriebsintern veröffentlicht werden.</w:t>
      </w:r>
    </w:p>
    <w:p>
      <w:r>
        <w:rPr>
          <w:color w:val="555555"/>
          <w:sz w:val="17"/>
        </w:rPr>
        <w:t xml:space="preserve">Zitiervorschlag: § 18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