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EntgTranspG — Betriebliche Prüfverfahren</w:t>
      </w:r>
    </w:p>
    <w:p>
      <w:r>
        <w:rPr>
          <w:color w:val="555555"/>
          <w:sz w:val="18"/>
        </w:rPr>
        <w:t xml:space="preserve">Entgelttransparenzgesetz</w:t>
      </w:r>
    </w:p>
    <w:p>
      <w:r>
        <w:rPr>
          <w:color w:val="555555"/>
          <w:sz w:val="18"/>
        </w:rPr>
        <w:t xml:space="preserve">Stand: 10.06.2019 (konsolidierte Textfassung, kein amtliches Inkrafttretensdatum)</w:t>
      </w:r>
    </w:p>
    <w:p>
      <w:r>
        <w:t xml:space="preserve">(1) Private Arbeitgeber mit in der Regel mehr als 500 Beschäftigten sind aufgefordert, mithilfe betrieblicher Prüfverfahren ihre Entgeltregelungen und die verschiedenen gezahlten Entgeltbestandteile sowie deren Anwendung regelmäßig auf die Einhaltung des Entgeltgleichheitsgebots im Sinne dieses Gesetzes zu überprüfen. Nimmt in einem Konzern das herrschende Unternehmen auf die Entgeltbedingungen mindestens eines Konzernunternehmens entscheidenden Einfluss, kann das herrschende Unternehmen das betriebliche Prüfverfahren nach Satz 1 für alle Konzernunternehmen durchführen.</w:t>
      </w:r>
    </w:p>
    <w:p>
      <w:r>
        <w:t xml:space="preserve">(2) Wird ein betriebliches Prüfverfahren durchgeführt, hat dies in eigener Verantwortung der Arbeitgeber mithilfe der Verfahren nach § 18 und unter Beteiligung der betrieblichen Interessenvertretungen zu erfolgen.</w:t>
      </w:r>
    </w:p>
    <w:p>
      <w:r>
        <w:rPr>
          <w:color w:val="555555"/>
          <w:sz w:val="17"/>
        </w:rPr>
        <w:t xml:space="preserve">Zitiervorschlag: § 17 EntgTranspG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https://recht.nulegal.eu/gesetze/EntgTranspG/17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