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EntgTranspG — Öffentlicher Dienst</w:t>
      </w:r>
    </w:p>
    <w:p>
      <w:r>
        <w:rPr>
          <w:color w:val="555555"/>
          <w:sz w:val="18"/>
        </w:rPr>
        <w:t xml:space="preserve">Entgelttransparenzgesetz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Anspruch nach § 10 besteht auch für Beschäftigte des öffentlichen Dienstes nach § 5 Absatz 2 Nummer 1 bis 5 in Dienststellen mit in der Regel mehr als 200 Beschäftigten. Die §§ 11 bis 14 sind sinngemäß anzuwenden.</w:t>
      </w:r>
    </w:p>
    <w:p>
      <w:r>
        <w:rPr>
          <w:color w:val="555555"/>
          <w:sz w:val="17"/>
        </w:rPr>
        <w:t xml:space="preserve">Zitiervorschlag: § 16 EntgTranspG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https://recht.nulegal.eu/gesetze/EntgTranspG/16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