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EntgTranspG — Verfahren bei nicht tarifgebundenen und nicht tarifanwendenden Arbeitgebern</w:t>
      </w:r>
    </w:p>
    <w:p>
      <w:r>
        <w:rPr>
          <w:color w:val="555555"/>
          <w:sz w:val="18"/>
        </w:rPr>
        <w:t xml:space="preserve">Entgelttransparenzgesetz</w:t>
      </w:r>
    </w:p>
    <w:p>
      <w:r>
        <w:rPr>
          <w:color w:val="555555"/>
          <w:sz w:val="18"/>
        </w:rPr>
        <w:t xml:space="preserve">Stand: 10.06.2019 (konsolidierte Textfassung, kein amtliches Inkrafttretensdatum)</w:t>
      </w:r>
    </w:p>
    <w:p>
      <w:r>
        <w:t xml:space="preserve">(1) Beschäftigte nicht tarifgebundener und nicht tarifanwendender Arbeitgeber wenden sich für ihr Auskunftsverlangen nach § 10 an den Arbeitgeber.</w:t>
      </w:r>
    </w:p>
    <w:p>
      <w:r>
        <w:t xml:space="preserve">(2) Besteht ein Betriebsrat, gilt § 14 Absatz 1 und 2 entsprechend.</w:t>
      </w:r>
    </w:p>
    <w:p>
      <w:r>
        <w:t xml:space="preserve">(3) Der Arbeitgeber oder der Betriebsrat ist verpflichtet, die nach § 10 verlangten Auskünfte innerhalb von drei Monaten nach Zugang des Auskunftsverlangens in Textform zu erteilen. Droht Fristversäumnis, hat der Arbeitgeber oder der Betriebsrat die auskunftverlangende Beschäftigte oder den auskunftverlangenden Beschäftigten darüber zu informieren und die Antwort ohne weiteres Verzögern zu erteilen.</w:t>
      </w:r>
    </w:p>
    <w:p>
      <w:r>
        <w:t xml:space="preserve">(4) Der Arbeitgeber oder der Betriebsrat gibt an, inwiefern die benannte Vergleichstätigkeit überwiegend von Beschäftigten des jeweils anderen Geschlechts ausgeübt wird. Hält der Arbeitgeber oder der Betriebsrat die erfragte Vergleichstätigkeit nach den im Betrieb angewendeten Maßstäben für nicht gleich oder nicht gleichwertig, hat er dies anhand dieser Maßstäbe nachvollziehbar zu begründen. Dabei sind die in § 4 genannten Kriterien zu berücksichtigen. Der Arbeitgeber oder der Betriebsrat hat in diesem Fall seine Auskunft auf eine seines Erachtens nach gleiche oder gleichwertige Tätigkeit zu beziehen. Soweit der Betriebsrat für die Beantwortung des Auskunftsverlangens zuständig ist, hat der Arbeitgeber dem Betriebsrat auf Verlangen die zur Erfüllung seiner Aufgaben erforderlichen Informationen bereitzustellen.</w:t>
      </w:r>
    </w:p>
    <w:p>
      <w:r>
        <w:t xml:space="preserve">(5) Unterlässt der Arbeitgeber die Erfüllung seiner Auskunftspflicht, trägt er im Streitfall die Beweislast dafür, dass kein Verstoß gegen das Entgeltgleichheitsgebot im Sinne dieses Gesetzes vorliegt. Dies gilt auch, wenn der Betriebsrat aus Gründen, die der Arbeitgeber zu vertreten hat, die Auskunft nicht erteilen konnte.</w:t>
      </w:r>
    </w:p>
    <w:p>
      <w:r>
        <w:rPr>
          <w:color w:val="555555"/>
          <w:sz w:val="17"/>
        </w:rPr>
        <w:t xml:space="preserve">Zitiervorschlag: § 15 EntgTranspG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https://recht.nulegal.eu/gesetze/EntgTranspG/15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