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EntgTranspG — Individueller Auskunftsanspruch</w:t>
      </w:r>
    </w:p>
    <w:p>
      <w:r>
        <w:rPr>
          <w:color w:val="555555"/>
          <w:sz w:val="18"/>
        </w:rPr>
        <w:t xml:space="preserve">Entgelttransparenzgesetz</w:t>
      </w:r>
    </w:p>
    <w:p>
      <w:r>
        <w:rPr>
          <w:color w:val="555555"/>
          <w:sz w:val="18"/>
        </w:rPr>
        <w:t xml:space="preserve">Stand: 10.06.2019 (konsolidierte Textfassung, kein amtliches Inkrafttretensdatum)</w:t>
      </w:r>
    </w:p>
    <w:p>
      <w:r>
        <w:t xml:space="preserve">(1) Zur Überprüfung der Einhaltung des Entgeltgleichheitsgebots im Sinne dieses Gesetzes haben Beschäftigte einen Auskunftsanspruch nach Maßgabe der §§ 11 bis 16. Dazu haben die Beschäftigten in zumutbarer Weise eine gleiche oder gleichwertige Tätigkeit (Vergleichstätigkeit) zu benennen. Sie können Auskunft zu dem durchschnittlichen monatlichen Bruttoentgelt nach § 5 Absatz 1 und zu bis zu zwei einzelnen Entgeltbestandteilen verlangen.</w:t>
      </w:r>
    </w:p>
    <w:p>
      <w:r>
        <w:t xml:space="preserve">(2) Das Auskunftsverlangen hat in Textform zu erfolgen. Vor Ablauf von zwei Jahren nach Einreichen des letzten Auskunftsverlangens können Beschäftigte nur dann erneut Auskunft verlangen, wenn sie darlegen, dass sich die Voraussetzungen wesentlich verändert haben.</w:t>
      </w:r>
    </w:p>
    <w:p>
      <w:r>
        <w:t xml:space="preserve">(3) Das Auskunftsverlangen ist mit der Antwort nach Maßgabe der §§ 11 bis 16 erfüllt.</w:t>
      </w:r>
    </w:p>
    <w:p>
      <w:r>
        <w:t xml:space="preserve">(4) Sonstige Auskunftsansprüche bleiben von diesem Gesetz unberührt.</w:t>
      </w:r>
    </w:p>
    <w:p>
      <w:r>
        <w:rPr>
          <w:color w:val="555555"/>
          <w:sz w:val="17"/>
        </w:rPr>
        <w:t xml:space="preserve">Zitiervorschlag: § 10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