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EntgTranspG — Ziel des Gesetzes</w:t>
      </w:r>
    </w:p>
    <w:p>
      <w:r>
        <w:rPr>
          <w:color w:val="555555"/>
          <w:sz w:val="18"/>
        </w:rPr>
        <w:t xml:space="preserve">Entgelttransparenzgesetz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Ziel des Gesetzes ist es, das Gebot des gleichen Entgelts für Frauen und Männer bei gleicher oder gleichwertiger Arbeit durchzusetzen.</w:t>
      </w:r>
    </w:p>
    <w:p>
      <w:r>
        <w:rPr>
          <w:color w:val="555555"/>
          <w:sz w:val="17"/>
        </w:rPr>
        <w:t xml:space="preserve">Zitiervorschlag: § 1 EntgTranspG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https://recht.nulegal.eu/gesetze/EntgTranspG/1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