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EntgFG — Leistungsverweigerungsrecht des Arbeitgebers</w:t>
      </w:r>
    </w:p>
    <w:p>
      <w:r>
        <w:rPr>
          <w:color w:val="555555"/>
          <w:sz w:val="18"/>
        </w:rPr>
        <w:t xml:space="preserve">Entgeltfortzahlungsgesetz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ist berechtigt, die Fortzahlung des Arbeitsentgelts zu verweigern,</w:t>
      </w:r>
    </w:p>
    <w:p>
      <w:pPr>
        <w:ind w:left="420"/>
      </w:pPr>
      <w:r>
        <w:t xml:space="preserve">1. solange der Arbeitnehmer die von ihm nach § 5 Abs. 1 vorzulegende ärztliche Bescheinigung nicht vorlegt oder den ihm nach § 5 Abs. 2 obliegenden Verpflichtungen nicht nachkommt;</w:t>
      </w:r>
    </w:p>
    <w:p>
      <w:pPr>
        <w:ind w:left="420"/>
      </w:pPr>
      <w:r>
        <w:t xml:space="preserve">2. wenn der Arbeitnehmer den Übergang eines Schadensersatzanspruchs gegen einen Dritten auf den Arbeitgeber (§ 6) verhindert.</w:t>
      </w:r>
    </w:p>
    <w:p>
      <w:r>
        <w:t xml:space="preserve">(2) Absatz 1 gilt nicht, wenn der Arbeitnehmer die Verletzung dieser ihm obliegenden Verpflichtungen nicht zu vertreten hat.</w:t>
      </w:r>
    </w:p>
    <w:p>
      <w:r>
        <w:rPr>
          <w:color w:val="555555"/>
          <w:sz w:val="17"/>
        </w:rPr>
        <w:t xml:space="preserve">Zitiervorschlag: § 7 EntgFG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