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EntgFG — Kürzung von Sondervergütungen</w:t>
      </w:r>
    </w:p>
    <w:p>
      <w:r>
        <w:rPr>
          <w:color w:val="555555"/>
          <w:sz w:val="18"/>
        </w:rPr>
        <w:t xml:space="preserve">Entgeltfortzahlungsgesetz</w:t>
      </w:r>
    </w:p>
    <w:p>
      <w:r>
        <w:rPr>
          <w:color w:val="555555"/>
          <w:sz w:val="18"/>
        </w:rPr>
        <w:t xml:space="preserve">Stand: 10.06.2019 (konsolidierte Textfassung, kein amtliches Inkrafttretensdatum)</w:t>
      </w:r>
    </w:p>
    <w:p>
      <w:r>
        <w:t xml:space="preserve">Eine Vereinbarung über die Kürzung von Leistungen, die der Arbeitgeber zusätzlich zum laufenden Arbeitsentgelt erbringt (Sondervergütungen), ist auch für Zeiten der Arbeitsunfähigkeit infolge Krankheit zulässig. Die Kürzung darf für jeden Tag der Arbeitsunfähigkeit infolge Krankheit ein Viertel des Arbeitsentgelts, das im Jahresdurchschnitt auf einen Arbeitstag entfällt, nicht überschreiten.</w:t>
      </w:r>
    </w:p>
    <w:p>
      <w:r>
        <w:rPr>
          <w:color w:val="555555"/>
          <w:sz w:val="17"/>
        </w:rPr>
        <w:t xml:space="preserve">Zitiervorschlag: § 4a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