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EntgFG — Entgeltzahlung an Feiertagen</w:t>
      </w:r>
    </w:p>
    <w:p>
      <w:r>
        <w:rPr>
          <w:color w:val="555555"/>
          <w:sz w:val="18"/>
        </w:rPr>
        <w:t xml:space="preserve">Entgeltfortzahlungsgesetz</w:t>
      </w:r>
    </w:p>
    <w:p>
      <w:r>
        <w:rPr>
          <w:color w:val="555555"/>
          <w:sz w:val="18"/>
        </w:rPr>
        <w:t xml:space="preserve">Stand: 10.06.2019 (konsolidierte Textfassung, kein amtliches Inkrafttretensdatum)</w:t>
      </w:r>
    </w:p>
    <w:p>
      <w:r>
        <w:t xml:space="preserve">(1) Für Arbeitszeit, die infolge eines gesetzlichen Feiertages ausfällt, hat der Arbeitgeber dem Arbeitnehmer das Arbeitsentgelt zu zahlen, das er ohne den Arbeitsausfall erhalten hätte.</w:t>
      </w:r>
    </w:p>
    <w:p>
      <w:r>
        <w:t xml:space="preserve">(2) Die Arbeitszeit, die an einem gesetzlichen Feiertag gleichzeitig infolge von Kurzarbeit ausfällt und für die an anderen Tagen als an gesetzlichen Feiertagen Kurzarbeitergeld geleistet wird, gilt als infolge eines gesetzlichen Feiertages nach Absatz 1 ausgefallen.</w:t>
      </w:r>
    </w:p>
    <w:p>
      <w:r>
        <w:t xml:space="preserve">(3) Arbeitnehmer, die am letzten Arbeitstag vor oder am ersten Arbeitstag nach Feiertagen unentschuldigt der Arbeit fernbleiben, haben keinen Anspruch auf Bezahlung für diese Feiertage.</w:t>
      </w:r>
    </w:p>
    <w:p>
      <w:r>
        <w:rPr>
          <w:color w:val="555555"/>
          <w:sz w:val="17"/>
        </w:rPr>
        <w:t xml:space="preserve">Zitiervorschlag: § 2 EntgFG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