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EntgFG — Anwendungsbereich</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Dieses Gesetz regelt die Zahlung des Arbeitsentgelts an gesetzlichen Feiertagen und die Fortzahlung des Arbeitsentgelts im Krankheitsfall an Arbeitnehmer sowie die wirtschaftliche Sicherung im Bereich der Heimarbeit für gesetzliche Feiertage und im Krankheitsfall.</w:t>
      </w:r>
    </w:p>
    <w:p>
      <w:r>
        <w:t xml:space="preserve">(2) Arbeitnehmer in Sinne dieses Gesetzes sind Arbeiter und Angestellte sowie die zu ihrer Berufsbildung Beschäftigten.</w:t>
      </w:r>
    </w:p>
    <w:p>
      <w:r>
        <w:rPr>
          <w:color w:val="555555"/>
          <w:sz w:val="17"/>
        </w:rPr>
        <w:t xml:space="preserve">Zitiervorschlag: § 1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