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EntgBV</w:t>
      </w:r>
    </w:p>
    <w:p>
      <w:r>
        <w:rPr>
          <w:color w:val="555555"/>
          <w:sz w:val="18"/>
        </w:rPr>
        <w:t xml:space="preserve">Entgeltbescheinigungsverordnung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108 Absatz 3 Satz 1 der Gewerbeordnung, der durch Artikel 8 des Gesetzes vom 23. November 2011 (BGBl. I S. 2298) neu gefasst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EntgBV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