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EntGBbg (Brandenburg) — Enteignungsantragsteller und Enteignungszweck</w:t>
      </w:r>
    </w:p>
    <w:p>
      <w:r>
        <w:rPr>
          <w:color w:val="555555"/>
          <w:sz w:val="18"/>
        </w:rPr>
        <w:t xml:space="preserve">Enteignungsgesetz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Enteigungsantragsteller im Sinne des § 21 Abs. 1 Nr. 1 ist der Abbauberechtigte.</w:t>
      </w:r>
    </w:p>
    <w:p>
      <w:r>
        <w:t xml:space="preserve">(2) Enteignungszweck ist der Durchgangserwerb (§ 49) mit dem Ziele der anschließenden Überlassung der Flächen an Personen, Einrichtungen und sonstige Berechtigte im Sinne des § 46 oder der Bestellung von Rechten zu ihren Gunsten sowie der Bereitstellung der Flächen für die Erschließung und den Gemeinbedarf.</w:t>
      </w:r>
    </w:p>
    <w:p>
      <w:r>
        <w:rPr>
          <w:color w:val="555555"/>
          <w:sz w:val="17"/>
        </w:rPr>
        <w:t xml:space="preserve">Zitiervorschlag: § 47 EntGBbg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https://recht.nulegal.eu/gesetze/EntGBbg/47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