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EntGBbg (Brandenburg) — Vollstreckbarer Titel</w:t>
      </w:r>
    </w:p>
    <w:p>
      <w:r>
        <w:rPr>
          <w:color w:val="555555"/>
          <w:sz w:val="18"/>
        </w:rPr>
        <w:t xml:space="preserve">Enteignungsgesetz des Landes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Zwangsvollstreckung nach den Vorschriften der Zivilprozeßordnung über die Vollstreckung von Urteilen in bürgerlichen Rechtsstreitigkeiten findet statt</w:t>
      </w:r>
    </w:p>
    <w:p>
      <w:r>
        <w:t xml:space="preserve">aus der Niederschrift über eine Einigung wegen der in ihr bezeichneten Leistungen;</w:t>
      </w:r>
    </w:p>
    <w:p>
      <w:r>
        <w:t xml:space="preserve">aus nicht mehr anfechtbarem Enteignungsbeschluß wegen der zu zahlenden Geldentschädigung oder einer Ausgleichszahlung;</w:t>
      </w:r>
    </w:p>
    <w:p>
      <w:r>
        <w:t xml:space="preserve">aus einem Beschluß über die vorzeitige Besitzeinweisung oder deren Aufhebung wegen der darin festgesetzten Leistungen;</w:t>
      </w:r>
    </w:p>
    <w:p>
      <w:r>
        <w:t xml:space="preserve">aus Beschlüssen nach § 16 Abs. 9, § 22, § 23 in Verbindung mit § 74 Abs. 2 Satz 3 und § 75 Abs. 2 Satz 4 des Verwaltungsverfahrensgesetzes, § 26 Abs. 6, § 36 Abs. 3 und § 39 Abs. 2 sowie aus allen sonstigen in Anwendung des § 41 ergehenden Beschlüssen;</w:t>
      </w:r>
    </w:p>
    <w:p>
      <w:r>
        <w:t xml:space="preserve">aus Kostenfestsetzungsbeschlüssen nach § 44 Abs. 4 wegen der von dem Entschädigungsverpflichteten dem Entschädigungsberechtigten zu erstattenden Aufwendungen.</w:t>
      </w:r>
    </w:p>
    <w:p>
      <w:r>
        <w:t xml:space="preserve">Die Zwangsvollstreckung wegen einer Ausgleichszahlung ist erst zulässig, wenn die Ausführungsanordnung wirksam und unanfechtbar ist.</w:t>
      </w:r>
    </w:p>
    <w:p>
      <w:r>
        <w:t xml:space="preserve">(2) Die vollstreckbare Ausfertigung wird von dem Urkundsbeamten der Geschäftsstelle des Kreisgerichts erteilt, in dessen Bezirk die Enteignungsbehörde ihren Sitz hat, und, wenn das Verfahren bei einem Gericht anhängig ist, von dem Urkundsbeamten der Geschäftsstelle dieses Gerichts. In den Fällen der §§ 731, 767 bis 770, 785, 786 und 791 der Zivilprozeßordnung tritt das Kreisgericht, in dessen Bezirk die Enteignungsbehörde ihren Sitz hat, an die Stelle des Prozeßgerichts.</w:t>
      </w:r>
    </w:p>
    <w:p>
      <w:r>
        <w:rPr>
          <w:color w:val="555555"/>
          <w:sz w:val="17"/>
        </w:rPr>
        <w:t xml:space="preserve">Zitiervorschlag: § 45 EntGBbg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https://recht.nulegal.eu/gesetze/EntGBbg/45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