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EntGBbg (Brandenburg) — Voraussetzungen für die Zulässigkeit der Enteignung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Enteignung ist im einzelnen Fall nur zulässig, wenn das Wohl der Allgemeinheit sie erfordert und der Enteignungszweck auf andere zumutbare Weise nicht erreicht werden kann.</w:t>
      </w:r>
    </w:p>
    <w:p>
      <w:r>
        <w:t xml:space="preserve">(2) Die Enteignung setzt voraus, daß der Antragsteller sich ernsthaft um den freihändigen Erwerb des zu enteignenden Grundstücks zu angemessenen Bedingungen, unter den Voraussetzungen des § 16 Abs. 1 und 3 unter Angebot geeigneten anderen Landes, vergeblich bemüht hat. Der Antragsteller hat glaubhaft zu machen, daß das Grundstück innerhalb angemessener Frist zu dem vorgesehenen Zweck verwendet werden wird.</w:t>
      </w:r>
    </w:p>
    <w:p>
      <w:r>
        <w:t xml:space="preserve">(3) Erfordert das Vorhaben nach anderen Gesetzen einen Planfeststellungsbeschluß oder einen anderen Verwaltungsakt, muß dieser unanfechtbar sein oder ein Rechtsmittel darf keine aufschiebende Wirkung haben. Dasselbe gilt für einen Planfeststellungsbeschluß, der aufgrund dieses Gesetzes ergeht (§ 23 Abs. 1). Nach anderen Gesetzen erforderliche Zulässigkeitserklärungen, Zustimmungen oder ähnliche Erklärungen müssen in der vorgesehenen Form vorliegen. Weitere in anderen Gesetzen geforderte Voraussetzungen für die Zulässigkeit der Enteignung bleiben von den Absätzen 1 und 2 unberührt.</w:t>
      </w:r>
    </w:p>
    <w:p>
      <w:r>
        <w:rPr>
          <w:color w:val="555555"/>
          <w:sz w:val="17"/>
        </w:rPr>
        <w:t xml:space="preserve">Zitiervorschlag: § 4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