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EntGBbg (Brandenburg) — Wirkung der vorzeitigen Besitzeinweisung, Entschädigungspflicht</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die Besitzeinweisung wird dem Besitzer der Besitz entzogen und der Eingewiesene Besitzer. Der Eingewiesene darf auf dem Grundstück das von ihm im Antrag auf vorzeitige Besitzeinweisung bezeichnete Bauvorhaben ausführen und die dafür erforderlichen Maßnahmen treffen.</w:t>
      </w:r>
    </w:p>
    <w:p>
      <w:r>
        <w:t xml:space="preserve">(2) Der Eingewiesene hat für die durch die vorzeitige Besitzeinweisung entstehenden Vermögensnachteile Entschädigung zu leisten, soweit die Nachteile nicht durch die Verzinsung der Geldentschädigung (§ 15 Abs.3) ausgeglichen werden. Art und Höhe der Entschädigung werden durch die Enteignungsbehörde spätestens in dem Enteignungsbeschluß (§ 30) festgesetzt. Wird der Beschluß über Art und Höhe der Entschädigung vorher erlassen,so ist er dem Antragsteller,dem Besitzer und dem Eigentümer zuzustellen. Die Entschädigung für die Besitzeinweisung ist ohne Rücksicht darauf, ob ein Antrag auf gerichtliche Entscheidung gestellt wird, zu dem Zeitpunkt fällig, in dem die vorzeitige Besitzeinweisung wirksam wird.</w:t>
      </w:r>
    </w:p>
    <w:p>
      <w:r>
        <w:t xml:space="preserve">(3) Wird der Enteignungsantrag abgewiesen, so ist die vorzeitige Besitzeinweisung aufzuheben und der vorherige unmittelbare Besitzer wieder in den Besitz einzuweisen. Der Eingewiesene hat für alle durch die vorzeitige Besitzeinweisung entstandenen besonderen Nachteile Entschädigung zu leisten. Die Entschädigung setzt die Enteignungsbehörde fest.</w:t>
      </w:r>
    </w:p>
    <w:p>
      <w:r>
        <w:rPr>
          <w:color w:val="555555"/>
          <w:sz w:val="17"/>
        </w:rPr>
        <w:t xml:space="preserve">Zitiervorschlag: § 38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