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EntGBbg (Brandenburg) — Verteilungsverfahren</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Nach Eintritt des neuen Rechtszustandes kann jeder Beteiligte sein Recht an der hinterlegten Summe gegen einen Mitbeteiligten, der dieses Recht bestreitet, vor den ordentlichen Gerichten geltend machen oder die Einleitung eines gerichtlichen Verteilungsverfahrens beantragen.</w:t>
      </w:r>
    </w:p>
    <w:p>
      <w:r>
        <w:t xml:space="preserve">(2) Für das Verteilungsverfahren ist das Kreisgericht zuständig, in dessen Bezirk das von der Enteignung betroffene Grundstück liegt; in Zweifelsfällen gilt § 2 des Gesetzes über die Zwangsversteigerung und die Zwangsverwaltung entsprechend.</w:t>
      </w:r>
    </w:p>
    <w:p>
      <w:r>
        <w:t xml:space="preserve">(3) Auf das Verteilungsverfahren sind die Vorschriften über die Verteilung des Erlöses im Falle der Zwangsversteigerung mit folgenden Abweichungen entsprechend anzuwenden:</w:t>
      </w:r>
    </w:p>
    <w:p>
      <w:r>
        <w:t xml:space="preserve">Das Verteilungsverfahren ist durch Beschluß zu eröffnen;</w:t>
      </w:r>
    </w:p>
    <w:p>
      <w:r>
        <w:t xml:space="preserve">anstelle der Beschlagnahme nach § 13 des Gesetzes über die Zwangsversteigerung und die Zwangsverwaltung tritt die Zustellung des Eröffnungsbeschlusses an den Antragsteller; ist das Grundstück schon in einem Zwangsversteigerungs- oder Zwangsverwaltungsverfahren beschlagnahmt, so hat es hierbei sein Bewenden;</w:t>
      </w:r>
    </w:p>
    <w:p>
      <w:r>
        <w:t xml:space="preserve">das Verteilungsgericht hat bei Eröffnung des Verfahrens von Amts wegen das Grundbuchamt um die in § 19 Abs. 2 des Gesetzes über die Zwangsversteigerung und die Zwangsverwaltung bezeichneten Mitteilungen zu ersuchen; in die beglaubigte Abschrift des Grundbuchblatts sind die zur Zeit der Zustellung des Enteignungsbeschlusses an den Enteigneten vorhandenen Eintragungen sowie die später eingetragenen Veränderungen und Löschungen aufzunehmen;</w:t>
      </w:r>
    </w:p>
    <w:p>
      <w:r>
        <w:t xml:space="preserve">bei dem Verfahren sind die in § 12 Abs. 4 bezeichneten Entschädigungsberechtigten nach Maßgabe des § 10 des Gesetzes über die Zwangsversteigerung und die Zwangsverwaltung zu berücksichtigen, wegen der Ansprüche auf wiederkehrende Nebenleistungen jedoch nur für die Zeit bis zur Hinterlegung.</w:t>
      </w:r>
    </w:p>
    <w:p>
      <w:r>
        <w:rPr>
          <w:color w:val="555555"/>
          <w:sz w:val="17"/>
        </w:rPr>
        <w:t xml:space="preserve">Zitiervorschlag: § 35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