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EntGBbg (Brandenburg) — Lauf der Verwendungsfrist</w:t>
      </w:r>
    </w:p>
    <w:p>
      <w:r>
        <w:rPr>
          <w:color w:val="555555"/>
          <w:sz w:val="18"/>
        </w:rPr>
        <w:t xml:space="preserve">Enteignungsgesetz des Landes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Frist, innerhalb der der Enteignungszweck nach § 30 Abs. 1 Nr. 3 zu verwirklichen ist, beginnt mit dem Eintritt der Rechtsänderung.</w:t>
      </w:r>
    </w:p>
    <w:p>
      <w:r>
        <w:t xml:space="preserve">(2) Die Enteignungsbehörde kann diese Frist vor ihrem Ablauf auf Antrag verlängern, wenn</w:t>
      </w:r>
    </w:p>
    <w:p>
      <w:r>
        <w:t xml:space="preserve">der Enteignungsbegünstigte nachweist, daß er den Enteignungszweck ohne Verschulden innerhalb der festgesetzten Frist nicht erfüllen kann, oder</w:t>
      </w:r>
    </w:p>
    <w:p>
      <w:r>
        <w:t xml:space="preserve">vor Ablauf der Frist eine Gesamtrechtsnachfolge eintritt und der Rechtsnachfolger nachweist, daß er den Enteignungszweck innerhalb der festgesetzten Frist nicht erfüllen kann.</w:t>
      </w:r>
    </w:p>
    <w:p>
      <w:r>
        <w:t xml:space="preserve">Der enteignete frühere Eigentümer ist vor der Entscheidung über die Verlängerung zu hören.</w:t>
      </w:r>
    </w:p>
    <w:p>
      <w:r>
        <w:rPr>
          <w:color w:val="555555"/>
          <w:sz w:val="17"/>
        </w:rPr>
        <w:t xml:space="preserve">Zitiervorschlag: § 31 EntGBbg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https://recht.nulegal.eu/gesetze/EntGBbg/31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