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EntGBbg (Brandenburg) — Entscheidung der Enteignungsbehörde</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eine Einigung nicht zustande kommt, entscheidet die Enteignungsbehörde aufgrund der mündlichen Verhandlung durch Beschluß über den Enteignungsantrag, die übrigen gestellten Anträge sowie über die erhobenen Einwendungen.</w:t>
      </w:r>
    </w:p>
    <w:p>
      <w:r>
        <w:t xml:space="preserve">(2) Auf Antrag eines Beteiligten hat die Enteignungsbehörde vorab über den Übergang oder die Belastung des Eigentums an dem zu enteignenden Grundstück oder über sonstige durch die Enteignung zu bewirkende Rechtsänderungen zu entscheiden. In diesem Fall hat die Enteignungsbehörde anzuordnen, daß dem Berechtigten eine Vorauszahlung in Höhe der zu erwartenden Entschädigung zu leisten ist.</w:t>
      </w:r>
    </w:p>
    <w:p>
      <w:r>
        <w:t xml:space="preserve">(3) Gibt die Enteignungsbehörde dem Enteignungsantrag statt, so entscheidet sie zugleich</w:t>
      </w:r>
    </w:p>
    <w:p>
      <w:r>
        <w:t xml:space="preserve">darüber, welche Rechte der in § 12 bezeichneten Berechtigten an dem Gegenstand der Enteignung aufrechterhalten bleiben,</w:t>
      </w:r>
    </w:p>
    <w:p>
      <w:r>
        <w:t xml:space="preserve">darüber, mit welchen Rechten der Gegenstand der Enteignung, das Ersatzland oder ein anderes Grundstück belastet werden,</w:t>
      </w:r>
    </w:p>
    <w:p>
      <w:r>
        <w:t xml:space="preserve">darüber, welche Rechtsverhältnisse begründet werden, die Rechte der in § 3 Abs. 1 Nr. 3 und 4 bezeichneten Art gewähren,</w:t>
      </w:r>
    </w:p>
    <w:p>
      <w:r>
        <w:t xml:space="preserve">im Falle der Entschädigung in Ersatzland über den Eigentumsübergang oder die Enteignung des Ersatzlands.</w:t>
      </w:r>
    </w:p>
    <w:p>
      <w:r>
        <w:rPr>
          <w:color w:val="555555"/>
          <w:sz w:val="17"/>
        </w:rPr>
        <w:t xml:space="preserve">Zitiervorschlag: § 29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