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EntGBbg (Brandenburg) — Teileinigung</w:t>
      </w:r>
    </w:p>
    <w:p>
      <w:r>
        <w:rPr>
          <w:color w:val="555555"/>
          <w:sz w:val="18"/>
        </w:rPr>
        <w:t xml:space="preserve">Enteignungsgesetz des Landes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Einigen sich die Beteiligten nur über den Übergang oder die Belastung des Eigentums an dem zu enteignenden Grundstück, jedoch nicht über die Höhe der Entschädigung, so ist § 27 Abs. 2 und 3 entsprechend anzuwenden. Die Enteignungsbehörde hat anzuordnen, daß dem Berechtigten eine Vorauszahlung in Höhe der zu erwartenden Entschädigung zu leisten ist, soweit sich aus der Einigung nichts anderes ergibt. Im übrigen nimmt das Enteignungsverfahren seinen Fortgang.</w:t>
      </w:r>
    </w:p>
    <w:p>
      <w:r>
        <w:t xml:space="preserve">(2) Die Enteignungsbehörde kann gemäß Absatz 1 Satz 2 und 3 auch dann verfahren, wenn Beteiligte eine der Teileinigung nach Absatz 1 Satz 1 vergleichbare Vereinbarung außerhalb des Verfahrens getroffen haben.</w:t>
      </w:r>
    </w:p>
    <w:p>
      <w:r>
        <w:rPr>
          <w:color w:val="555555"/>
          <w:sz w:val="17"/>
        </w:rPr>
        <w:t xml:space="preserve">Zitiervorschlag: § 28 EntGBbg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https://recht.nulegal.eu/gesetze/EntGBbg/28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