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EntGBbg (Brandenburg) — Unvollständige Anträge</w:t>
      </w:r>
    </w:p>
    <w:p>
      <w:r>
        <w:rPr>
          <w:color w:val="555555"/>
          <w:sz w:val="18"/>
        </w:rPr>
        <w:t xml:space="preserve">Enteignungsgesetz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Unvollständige, mangelhafte oder offensichtlich unzulässige Enteignungsanträge können ohne Durchführung eines Verfahrens zurückgewiesen werden, wenn der Antragsteller die ihm mitzuteilenden Mängel nicht innerhalb der ihm gesetzten Frist behebt.</w:t>
      </w:r>
    </w:p>
    <w:p>
      <w:r>
        <w:rPr>
          <w:color w:val="555555"/>
          <w:sz w:val="17"/>
        </w:rPr>
        <w:t xml:space="preserve">Zitiervorschlag: § 20 EntGBbg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https://recht.nulegal.eu/gesetze/EntGBbg/20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