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EntGBbg (Brandenburg) — Enteignungsbehörde, förmliches Verfahren</w:t>
      </w:r>
    </w:p>
    <w:p>
      <w:r>
        <w:rPr>
          <w:color w:val="555555"/>
          <w:sz w:val="18"/>
        </w:rPr>
        <w:t xml:space="preserve">Enteignungsgesetz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Enteignungsbehörde ist das Ministerium des Innern. Soweit für Verfahren nach den §§ 40 und 41 andere Zuständigkeiten festgelegt sind, bleiben diese unberührt.</w:t>
      </w:r>
    </w:p>
    <w:p>
      <w:r>
        <w:t xml:space="preserve">(2) Das in den Abschnitten 1 bis 4 dieses Kapitels geregelte Verfahren ist ein förmliches Verwaltungsverfahren im Sinne des Teils V Abschnitt 1 des Verwaltungsverfahrensgesetzes. Die Vorschriften dieses Gesetzes sind anzuwenden, soweit nicht in den nachfolgenden Vorschriften Abweichendes bestimmt ist.</w:t>
      </w:r>
    </w:p>
    <w:p>
      <w:r>
        <w:rPr>
          <w:color w:val="555555"/>
          <w:sz w:val="17"/>
        </w:rPr>
        <w:t xml:space="preserve">Zitiervorschlag: § 18 EntGBbg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https://recht.nulegal.eu/gesetze/EntGBbg/18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