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EntGBbg (Brandenburg) — Schuldübergang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Haftet bei einer Hypothek, die aufrechterhalten oder durch ein neues Recht an einem anderen Grundstück ersetzt wird, der von der Enteignung Betroffene zugleich persönlich, so übernimmt der Enteignungsbegünstigte die Schuld in Höhe der Hypothek. Die §§ 415 und 416 des Bürgerlichen Gesetzbuches gelten entsprechend; als Veräußerer im Sinne des § 416 des Bürgerlichen Gesetzbuchs ist der von der Enteignung Betroffene anzusehen.</w:t>
      </w:r>
    </w:p>
    <w:p>
      <w:r>
        <w:t xml:space="preserve">(2) Das gleiche gilt, wenn bei einer Grundschuld oder Rentenschuld, die aufrechterhalten oder durch ein neues Recht an einem anderen Grundstück ersetzt wird, der von der Enteignung Betroffene zugleich persönlich haftet, sofern er spätestens in dem nach § 25 anzuberaumenden Termin die gegen ihn bestehende Forderung unter Angabe ihres Betrages und Grundes angemeldet und auf Verlangen der Enteignungsbehörde oder eines Beteiligten glaubhaft gemacht hat.</w:t>
      </w:r>
    </w:p>
    <w:p>
      <w:r>
        <w:rPr>
          <w:color w:val="555555"/>
          <w:sz w:val="17"/>
        </w:rPr>
        <w:t xml:space="preserve">Zitiervorschlag: § 14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