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EntGBbg (Brandenburg) — Entschädigung für den Rechtsverlust</w:t>
      </w:r>
    </w:p>
    <w:p>
      <w:r>
        <w:rPr>
          <w:color w:val="555555"/>
          <w:sz w:val="18"/>
        </w:rPr>
        <w:t xml:space="preserve">Enteignungsgesetz des Landes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Entschädigung für den durch die Enteignung eintretenden Rechtsverlust bemißt sich nach dem Verkehrswert des zu enteignenden Grundstücks oder sonstigen Gegenstands der Enteignung. Der Verkehrswert wird durch den Preis bestimmt, der in dem Zeitpunkt, auf den sich die Ermittlung bezieht, im gewöhnlichen Geschäftsverkehr nach den rechtlichen Gegebenheiten und tatsächlichen Eigenschaften, der sonstigen Beschaffenheit und der Lage des Grundstücks oder des sonstigen Gegenstands der Wertermittlung ohne Rücksicht auf ungewöhnliche oder persönliche Verhältnisse zu erzielen wäre. Maßgebend ist der Verkehrswert in dem Zeitpunkt, in dem die Enteignungsbehörde über den Enteignungsantrag entscheidet.</w:t>
      </w:r>
    </w:p>
    <w:p>
      <w:r>
        <w:t xml:space="preserve">(2) Bei der Festsetzung der Entschädigung bleiben unberücksichtigt</w:t>
      </w:r>
    </w:p>
    <w:p>
      <w:r>
        <w:t xml:space="preserve">Wertsteigerungen eines Grundstücks, die in der Aussicht auf eine Änderung der zulässigen Nutzung eingetreten sind, wenn die Änderung nicht in absehbarer Zeit zu erwarten ist;</w:t>
      </w:r>
    </w:p>
    <w:p>
      <w:r>
        <w:t xml:space="preserve">Wertänderungen, die infolge der bevorstehenden Enteignung eingetreten sind;</w:t>
      </w:r>
    </w:p>
    <w:p>
      <w:r>
        <w:t xml:space="preserve">Werterhöhungen, die nach dem Zeitpunkt eingetreten sind, in dem der Eigentümer zur Vermeidung der Enteignung ein Kauf- oder Tauschangebot des Antragstellers mit angemessenen Bedingungen (§ 4 Abs. 2 Satz 1) hätte annehmen können, es sei denn, daß der Eigentümer Kapital oder Arbeit für sie aufgewendet hat;</w:t>
      </w:r>
    </w:p>
    <w:p>
      <w:r>
        <w:t xml:space="preserve">wertsteigernde Veränderungen, die während einer Verfügungs- und Veränderungssperre nach § 26, einer Veränderungssperre nach dem Ersten Kapitel, Zweiter Teil, Erster Abschnitt (§§ 14 ff.) des Baugesetzbuches (BauGB), einer Verfügungs- und Veränderungssperre nach § 51 BauGB, einer Veränderungssperre nach § 9a des Bundesfernstraßengesetzes oder nach landesrechtlichen Vorschriften oder einer ähnlichen Sperre oder eines ähnlichen Verbots ohne die erforderliche Genehmigung, Bewilligung oder Zustimmung vorgenommen worden sind;</w:t>
      </w:r>
    </w:p>
    <w:p>
      <w:r>
        <w:t xml:space="preserve">Vereinbarungen, soweit sie von üblichen Vereinbarungen auffällig abweichen und Tatsachen die Annahme rechtfertigen, daß sie getroffen worden sind, um eine höhere Entschädigungsleistung zu erlangen;</w:t>
      </w:r>
    </w:p>
    <w:p>
      <w:r>
        <w:t xml:space="preserve">Bodenwerte, die nicht zu berücksichtigen wären, wenn der Eigentümer Ansprüche nach den §§ 40 bis 42 BauGB geltend machen würde.</w:t>
      </w:r>
    </w:p>
    <w:p>
      <w:r>
        <w:t xml:space="preserve">(3) Für bauliche Anlagen, deren Abbruch jederzeit aufgrund öffentlich-rechtlicher Vorschriften entschädigungslos gefordert werden kann, ist eine Entschädigung nur zu gewähren, wenn es aus Gründen der Billigkeit geboten ist. Kann der Abbruch entschädigungslos erst nach Ablauf einer Frist gefordert werden, so ist die Entschädigung nach dem Verhältnis der restlichen zu der gesamten Frist zu bemessen.</w:t>
      </w:r>
    </w:p>
    <w:p>
      <w:r>
        <w:t xml:space="preserve">(4) Wird der Wert des Eigentums an dem Grundstück durch Rechte Dritter gemindert, die an dem Grundstück aufrechterhalten, an einem anderen Grundstück neu begründet oder gesondert entschädigt werden, so ist dies bei der Festsetzung der Entschädigung für den Rechtsverlust zu berücksichtigen.</w:t>
      </w:r>
    </w:p>
    <w:p>
      <w:r>
        <w:rPr>
          <w:color w:val="555555"/>
          <w:sz w:val="17"/>
        </w:rPr>
        <w:t xml:space="preserve">Zitiervorschlag: § 10 EntGBbg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https://recht.nulegal.eu/gesetze/EntGBbg/10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