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EntGBbg (Brandenburg) — Anwendungsbereich</w:t>
      </w:r>
    </w:p>
    <w:p>
      <w:r>
        <w:rPr>
          <w:color w:val="555555"/>
          <w:sz w:val="18"/>
        </w:rPr>
        <w:t xml:space="preserve">Enteignungsgesetz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Dieses Gesetz gilt für alle Enteignungs- und Besitzeinweisungsverfahren und die damit verbundenen Entschädigungs- und Übernahmeverfahren im Lande Brandenburg, wenn und soweit nicht Bundesrecht anzuwenden ist. Für andere Entschädigungs- und Übernahmeverfahren (§§ 40 und 41) gilt dieses Gesetz nur, wenn und soweit es dies vorsieht und nicht bundesrechtliche Vorschriften anzuwenden sind.</w:t>
      </w:r>
    </w:p>
    <w:p>
      <w:r>
        <w:rPr>
          <w:color w:val="555555"/>
          <w:sz w:val="17"/>
        </w:rPr>
        <w:t xml:space="preserve">Zitiervorschlag: § 1 EntGBbg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https://recht.nulegal.eu/gesetze/EntGBbg/1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