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4 EnergieStV — (zu § 110 Satz 1 Nr. 9) Verfahren zur Bestimmung des Färbeäquivalents von Kennzeichnungsstoffen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2006, 1801)</w:t>
      </w:r>
    </w:p>
    <w:p>
      <w:r>
        <w:t xml:space="preserve">Das Färbeäquivalent von Gemischen der in § 2 Abs. 1 genannten Rotfarbstoffe ist spektralphotometrisch durch Vergleich der Extinktionen in Toluol zu ermitteln. Äquivalenz liegt vor, wenn sich die Extinktionskurve des Farbstoffgemisches und die Extinktionskurve von 5 g N-Ethyl-1-(4-phenylazophenylazo)-naphthyl-2-amin (Standard-Farbstoff) unter gleichen Messbedingungen im Maximum decken.</w:t>
      </w:r>
    </w:p>
    <w:p>
      <w:r>
        <w:rPr>
          <w:color w:val="555555"/>
          <w:sz w:val="17"/>
        </w:rPr>
        <w:t xml:space="preserve">Zitiervorschlag: Anlage 4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https://recht.nulegal.eu/gesetze/EnergieStV/anlage-4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