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EnergieStV — Steuerentlastung für die Stromerzeugung und die gekoppelte Erzeugung von Kraft und Wärme, Allgemeines</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Zur Ermittlung der entlastungsfähigen Mengen sind die zur Stromerzeugung oder zur gekoppelten Erzeugung von Kraft und Wärme eingesetzten Energieerzeugnisse und die weiteren eingesetzten Brennstoffe und Hilfsenergie zu messen. Das zuständige Hauptzollamt kann auf Antrag andere Ermittlungsmethoden zulassen, wenn die steuerlichen Belange nicht beeinträchtigt werden.</w:t>
      </w:r>
    </w:p>
    <w:p>
      <w:r>
        <w:t xml:space="preserve">(2) Die zur Dampferzeugung eingesetzten Energieerzeugnisse sind den Dampfentnahmestellen entsprechend der jeweils entnommenen Dampfmenge und ihres Anteils an der Gesamtdampferzeugung zuzurechnen.</w:t>
      </w:r>
    </w:p>
    <w:p>
      <w:r>
        <w:t xml:space="preserve">(3) Wird aus Energieerzeugnissen erzeugte mechanische oder thermische Energie von einer anderen Person als dem Verwender der Energieerzeugnisse zur Stromerzeugung oder zur gekoppelten Erzeugung von Kraft und Wärme genutzt, ist auf Verlangen des Hauptzollamts zusätzlich zum Antrag nach § 99 oder § 99a für jede die mechanische oder die thermische Energie verwendende andere Person eine Selbsterklärung dieser anderen Person vorzulegen. Die Selbsterklärung gemäß Satz 1 ist nach amtlich vorgeschriebenem Vordruck abzugeben und gilt als Steuererklärung im Sinne der Abgabenordnung. In der Selbsterklärung hat die andere Person im Sinne von Satz 1 Angaben über die vollständige oder anteilige Nutzung der mechanischen oder thermischen Energie zur Stromerzeugung oder zur gekoppelten Erzeugung von Kraft und Wärme zu machen. Eine andere Person im Sinne des Satzes 1 hat Aufzeichnungen zu führen, aus denen sich die Verwendung der mechanischen oder thermischen Energie eindeutig herleiten lässt. Die Aufzeichnungen müssen so beschaffen sein, dass es einem sachverständigen Dritten innerhalb einer angemessenen Frist möglich ist, die Aufzeichnungen zu prüfen.</w:t>
      </w:r>
    </w:p>
    <w:p>
      <w:r>
        <w:rPr>
          <w:color w:val="555555"/>
          <w:sz w:val="17"/>
        </w:rPr>
        <w:t xml:space="preserve">Zitiervorschlag: § 98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