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 EnergieStV — Steuerentlastung für die Luftfahrt</w:t>
      </w:r>
    </w:p>
    <w:p>
      <w:r>
        <w:rPr>
          <w:color w:val="555555"/>
          <w:sz w:val="18"/>
        </w:rPr>
        <w:t xml:space="preserve">Energiesteuer-Durchführungsverordnung</w:t>
      </w:r>
    </w:p>
    <w:p>
      <w:r>
        <w:rPr>
          <w:color w:val="555555"/>
          <w:sz w:val="18"/>
        </w:rPr>
        <w:t xml:space="preserve">Stand: 01.01.2025 (konsolidierte Textfassung, kein amtliches Inkrafttretensdatum)</w:t>
      </w:r>
    </w:p>
    <w:p>
      <w:r>
        <w:t xml:space="preserve">(1) Die Steuerentlastung nach § 52 des Gesetzes für Energieerzeugnisse, die zu den in § 27 Abs. 2 oder Abs. 3 des Gesetzes genannten Zwecken verwendet worden sind, ist bei dem für den Antragsteller zuständigen Hauptzollamt mit einer Anmeldung nach amtlich vorgeschriebenem Vordruck für alle innerhalb eines Entlastungsabschnitts verwendeten Energieerzeugnisse zu beantragen. Der Antragsteller hat in der Anmeldung alle für die Bemessung der Steuerentlastung erforderlichen Angaben zu machen und die Steuerentlastung selbst zu berechnen. Die Steuerentlastung wird nur gewährt, wenn der Antrag spätestens bis zum Ablauf der Festsetzungsfrist im Sinne des § 169 Absatz 2 Satz 1 Nummer 1 der Abgabenordnung beim Hauptzollamt gestellt wird.</w:t>
      </w:r>
    </w:p>
    <w:p>
      <w:r>
        <w:t xml:space="preserve">(2) Entlastungsabschnitt ist nach Wahl des Antragstellers ein Zeitraum von einem Kalendervierteljahr, einem Kalenderhalbjahr oder einem Kalenderjahr. Das Hauptzollamt kann auf Antrag einen Zeitraum von einem Kalendermonat als Entlastungsabschnitt zulassen. Das Wahlrecht kann einmalig für jeweils ein Kalenderjahr ausgeübt werden.</w:t>
      </w:r>
    </w:p>
    <w:p>
      <w:r>
        <w:t xml:space="preserve">(3) Dem Antrag sind im Fall des § 27 Abs. 2 des Gesetzes beizufügen:</w:t>
      </w:r>
    </w:p>
    <w:p>
      <w:pPr>
        <w:ind w:left="420"/>
      </w:pPr>
      <w:r>
        <w:t xml:space="preserve">1. die in § 52 Abs. 2 Satz 2 Nr. 4 Buchstabe a, c und d bezeichneten Unterlagen,</w:t>
      </w:r>
    </w:p>
    <w:p>
      <w:pPr>
        <w:ind w:left="420"/>
      </w:pPr>
      <w:r>
        <w:t xml:space="preserve">2. für jedes Luftfahrzeug ein buchmäßiger Nachweis mit folgenden Angaben:</w:t>
      </w:r>
    </w:p>
    <w:p>
      <w:pPr>
        <w:ind w:left="780"/>
      </w:pPr>
      <w:r>
        <w:t xml:space="preserve">a) Tag und Art des Fluges,</w:t>
      </w:r>
    </w:p>
    <w:p>
      <w:pPr>
        <w:ind w:left="780"/>
      </w:pPr>
      <w:r>
        <w:t xml:space="preserve">b) Start- und Bestimmungsflugplatz, Ort der Zwischenlandung,</w:t>
      </w:r>
    </w:p>
    <w:p>
      <w:pPr>
        <w:ind w:left="780"/>
      </w:pPr>
      <w:r>
        <w:t xml:space="preserve">c) Flugdauer,</w:t>
      </w:r>
    </w:p>
    <w:p>
      <w:pPr>
        <w:ind w:left="780"/>
      </w:pPr>
      <w:r>
        <w:t xml:space="preserve">d) Art und Mengen der übernommenen und verbrauchten Energieerzeugnisse,</w:t>
      </w:r>
    </w:p>
    <w:p>
      <w:pPr>
        <w:ind w:left="420"/>
      </w:pPr>
      <w:r>
        <w:t xml:space="preserve">3. Nachweise, dass das Luftfahrzeug zu den in § 27 Abs. 2 des Gesetzes genannten Zwecken eingesetzt wurde,</w:t>
      </w:r>
    </w:p>
    <w:p>
      <w:pPr>
        <w:ind w:left="420"/>
      </w:pPr>
      <w:r>
        <w:t xml:space="preserve">4. Unterlagen über die Versteuerung der Energieerzeugnisse.</w:t>
      </w:r>
    </w:p>
    <w:p>
      <w:r>
        <w:t xml:space="preserve">Das zuständige Hauptzollamt kann auf Antrag unter Auflagen von den Pflichten nach Satz 1 befreien, soweit die Steuerbelange dadurch nicht beeinträchtigt werden.</w:t>
      </w:r>
    </w:p>
    <w:p>
      <w:r>
        <w:t xml:space="preserve">(4) Werden versteuerte Energieerzeugnisse für die Entwicklung und Herstellung von Luftfahrzeugen oder im Rahmen von Instandhaltungsmaßnahmen von Luftfahrzeugen durch die in § 60 Abs. 8 genannten Betriebe bezogen, kann das zuständige Hauptzollamt andere als die in Absatz 3 genannten Nachweise zulassen, wenn die Steuerbelange dadurch nicht beeinträchtigt werden. Zusätzlich ist die in § 52 Abs. 2 Satz 2 Nr. 5 bezeichnete Genehmigung vorzulegen. Absatz 3 Satz 2 gilt sinngemäß.</w:t>
      </w:r>
    </w:p>
    <w:p>
      <w:r>
        <w:rPr>
          <w:color w:val="555555"/>
          <w:sz w:val="17"/>
        </w:rPr>
        <w:t xml:space="preserve">Zitiervorschlag: § 97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