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EnergieStV — Steuerentlastung für die Schifffahrt</w:t>
      </w:r>
    </w:p>
    <w:p>
      <w:r>
        <w:rPr>
          <w:color w:val="555555"/>
          <w:sz w:val="18"/>
        </w:rPr>
        <w:t xml:space="preserve">Energiesteuer-Durchführungsverordnung</w:t>
      </w:r>
    </w:p>
    <w:p>
      <w:r>
        <w:rPr>
          <w:color w:val="555555"/>
          <w:sz w:val="18"/>
        </w:rPr>
        <w:t xml:space="preserve">Stand: 01.01.2025 (konsolidierte Textfassung, kein amtliches Inkrafttretensdatum)</w:t>
      </w:r>
    </w:p>
    <w:p>
      <w:r>
        <w:t xml:space="preserve">(1) Abweichend von § 52 Abs. 1 Satz 2 des Gesetzes wird eine Steuerentlastung auch für nicht gekennzeichnete Energieerzeugnisse der Unterpositionen 2710 19 43 bis 2710 19 48 und der Unterpositionen 2710 20 11 bis 2710 20 19 der Kombinierten Nomenklatur gewährt, wenn das Wasserfahrzeug sowohl zu steuerfreien Zwecken nach § 27 Abs. 1 Satz 1 Nr. 1 oder Nr. 2 des Gesetzes als auch zu nicht steuerfreien Zwecken eingesetzt wird oder wenn glaubhaft gemacht wird, dass eine Betankung unvermeidlich war und ordnungsgemäß gekennzeichnete Energieerzeugnisse der Unterpositionen 2710 19 41 bis 2710 19 49 der Kombinierten Nomenklatur kurzfristig nicht verfügbar waren.</w:t>
      </w:r>
    </w:p>
    <w:p>
      <w:r>
        <w:t xml:space="preserve">(2) Die Steuerentlastung nach § 52 des Gesetzes für in Wasserfahrzeugen verwendete Energieerzeugnisse ist bei dem für den Antragsteller zuständigen Hauptzollamt mit einer Anmeldung nach amtlich vorgeschriebenem Vordruck für alle Energieerzeugnisse zu beantragen, die innerhalb eines Entlastungsabschnitts verwendet worden sind. Der Antragsteller hat in der Anmeldung alle für die Bemessung der Steuerentlastung erforderlichen Angaben zu machen und die Steuerentlastung selbst zu berechnen. Die Steuerentlastung wird nur gewährt, wenn der Antrag spätestens bis zum Ablauf der Festsetzungsfrist im Sinne des § 169 Absatz 2 Satz 1 Nummer 1 der Abgabenordnung beim Hauptzollamt gestellt wird.</w:t>
      </w:r>
    </w:p>
    <w:p>
      <w:r>
        <w:t xml:space="preserve">(3) Entlastungsabschnitt ist nach Wahl des Antragstellers ein Zeitraum von einem Kalendervierteljahr, einem Kalenderhalbjahr oder einem Kalenderjahr. Das Hauptzollamt kann auf Antrag einen Zeitraum von einem Kalendermonat als Entlastungsabschnitt zulassen. Das Wahlrecht kann einmalig für jeweils ein Kalenderjahr ausgeübt werden.</w:t>
      </w:r>
    </w:p>
    <w:p>
      <w:r>
        <w:t xml:space="preserve">(4) Dem Antrag sind beizufügen:</w:t>
      </w:r>
    </w:p>
    <w:p>
      <w:pPr>
        <w:ind w:left="420"/>
      </w:pPr>
      <w:r>
        <w:t xml:space="preserve">1. für jedes Wasserfahrzeug ein buchmäßiger Nachweis mit folgenden Angaben:</w:t>
      </w:r>
    </w:p>
    <w:p>
      <w:pPr>
        <w:ind w:left="780"/>
      </w:pPr>
      <w:r>
        <w:t xml:space="preserve">a) Tag und Art der Fahrt,</w:t>
      </w:r>
    </w:p>
    <w:p>
      <w:pPr>
        <w:ind w:left="780"/>
      </w:pPr>
      <w:r>
        <w:t xml:space="preserve">b) Abgangs- und Zielhafen, weitere Anlegestellen,</w:t>
      </w:r>
    </w:p>
    <w:p>
      <w:pPr>
        <w:ind w:left="780"/>
      </w:pPr>
      <w:r>
        <w:t xml:space="preserve">c) Fahrtdauer und gegebenenfalls Betriebsstunden des Antriebsmotors und der Hilfsaggregate,</w:t>
      </w:r>
    </w:p>
    <w:p>
      <w:pPr>
        <w:ind w:left="780"/>
      </w:pPr>
      <w:r>
        <w:t xml:space="preserve">d) gegebenenfalls Art und Mengen der außerhalb des Steuergebiets bezogenen Energieerzeugnisse,</w:t>
      </w:r>
    </w:p>
    <w:p>
      <w:pPr>
        <w:ind w:left="780"/>
      </w:pPr>
      <w:r>
        <w:t xml:space="preserve">e) Art und Mengen der im Steuergebiet bezogenen und zu begünstigten Fahrten verwendeten Energieerzeugnisse,</w:t>
      </w:r>
    </w:p>
    <w:p>
      <w:pPr>
        <w:ind w:left="420"/>
      </w:pPr>
      <w:r>
        <w:t xml:space="preserve">2. Nachweise, dass das Wasserfahrzeug zu den in § 27 Abs. 1 des Gesetzes genannten Zwecken eingesetzt wurde,</w:t>
      </w:r>
    </w:p>
    <w:p>
      <w:pPr>
        <w:ind w:left="420"/>
      </w:pPr>
      <w:r>
        <w:t xml:space="preserve">3. Unterlagen über die Versteuerung der Energieerzeugnisse.</w:t>
      </w:r>
    </w:p>
    <w:p>
      <w:r>
        <w:t xml:space="preserve">Das zuständige Hauptzollamt kann auf Antrag unter Auflagen von den Pflichten nach Satz 1 befreien, soweit die Steuerbelange dadurch nicht beeinträchtigt werden.</w:t>
      </w:r>
    </w:p>
    <w:p>
      <w:r>
        <w:t xml:space="preserve">(5) Werden versteuerte Energieerzeugnisse für die Herstellung oder im Rahmen von Instandhaltungsmaßnahmen von Wasserfahrzeugen bezogen, kann das zuständige Hauptzollamt andere als die in Absatz 4 genannten Nachweise zulassen, wenn die Steuerbelange dadurch nicht beeinträchtigt werden. Absatz 4 Satz 2 gilt sinngemäß.</w:t>
      </w:r>
    </w:p>
    <w:p>
      <w:r>
        <w:rPr>
          <w:color w:val="555555"/>
          <w:sz w:val="17"/>
        </w:rPr>
        <w:t xml:space="preserve">Zitiervorschlag: § 96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