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EnergieStV — Steuerentlastung für zum Verheizen verwendete Energieerzeugnisse</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Die Steuerentlastung nach § 49 des Gesetzes ist bei dem für den Antragsteller zuständigen Hauptzollamt mit einer Anmeldung nach amtlich vorgeschriebenem Vordruck für alle Energieerzeugnisse zu beantragen, die innerhalb eines Entlastungsabschnitts verwendet oder abgegeben worden sind. Der Antragsteller hat in der Anmeldung alle für die Bemessung der Steuerentlastung erforderlichen Angaben zu machen und die Steuerentlastung selbst zu berechnen. Die Steuerentlastung wird nur gewährt, wenn der Antrag spätestens bis zum Ablauf der Festsetzungsfrist im Sinne des § 169 Absatz 2 Satz 1 Nummer 1 der Abgabenordnung beim Hauptzollamt gestellt wird.</w:t>
      </w:r>
    </w:p>
    <w:p>
      <w:r>
        <w:t xml:space="preserve">(1a) Bei erstmaliger Antragstellung ist dem Antrag eine Betriebserklärung beizufügen, in der die Verwendung der Energieerzeugnisse genau beschrieben ist. Weiteren Anträgen muss eine Betriebserklärung nur beigefügt werden, wenn sich Änderungen gegenüber der dem Hauptzollamt bereits vorliegenden Betriebserklärung ergeben haben. In diesem Fall hat der Antragsteller die Änderungen besonders kenntlich zu machen.</w:t>
      </w:r>
    </w:p>
    <w:p>
      <w:r>
        <w:t xml:space="preserve">(2) Entlastungsabschnitt ist nach Wahl des Antragstellers ein Zeitraum von einem Kalendervierteljahr, einem Kalenderhalbjahr oder einem Kalenderjahr. Das Hauptzollamt kann auf Antrag einen Zeitraum von einem Kalendermonat als Entlastungsabschnitt zulassen. Das Wahlrecht kann einmalig für jeweils ein Kalenderjahr ausgeübt werden.</w:t>
      </w:r>
    </w:p>
    <w:p>
      <w:r>
        <w:t xml:space="preserve">(3) Der Antragsteller hat einen buchmäßigen Nachweis zu führen, aus dem sich für den Entlastungsabschnitt Folgendes ergeben muss:</w:t>
      </w:r>
    </w:p>
    <w:p>
      <w:pPr>
        <w:ind w:left="420"/>
      </w:pPr>
      <w:r>
        <w:t xml:space="preserve">1. in den Fällen des § 49 Absatz 1 oder Absatz 3 des Energiesteuergesetzes die Menge, die Herkunft und der genaue Verwendungszweck der Energieerzeugnisse,</w:t>
      </w:r>
    </w:p>
    <w:p>
      <w:pPr>
        <w:ind w:left="420"/>
      </w:pPr>
      <w:r>
        <w:t xml:space="preserve">2. im Fall des § 49 Absatz 2 des Energiesteuergesetzes die Menge und die Herkunft der Energieerzeugnisse.</w:t>
      </w:r>
    </w:p>
    <w:p>
      <w:r>
        <w:t xml:space="preserve">Abweichend von Satz 1 sind belegmäßige Nachweise anstelle des buchmäßigen Nachweises ausreichend, wenn die Steuerbelange dadurch nicht beeinträchtigt werden. Satz 2 gilt nicht für Antragsteller, die nach dem Handelsgesetzbuch oder der Abgabenordnung dazu verpflichtet sind, ordnungsmäßig kaufmännische Bücher zu führen und rechtzeitig Jahresabschlüsse aufzustellen.</w:t>
      </w:r>
    </w:p>
    <w:p>
      <w:r>
        <w:t xml:space="preserve">(3a) Energieerzeugnisse, für die eine Steuerentlastung nach § 49 des Gesetzes gewährt wird, gelten als Energieerzeugnisse, die nach § 2 Absatz 3 des Gesetzes versteuert worden sind.</w:t>
      </w:r>
    </w:p>
    <w:p>
      <w:r>
        <w:t xml:space="preserve">(4) § 107 Abs. 2 gilt im Fall des § 49 Abs. 2 des Gesetzes sinngemäß.</w:t>
      </w:r>
    </w:p>
    <w:p>
      <w:r>
        <w:rPr>
          <w:color w:val="555555"/>
          <w:sz w:val="17"/>
        </w:rPr>
        <w:t xml:space="preserve">Zitiervorschlag: § 93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