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EnergieStV — Steuerentlastung bei Spülvorgängen und versehentlichen Vermischungen</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Bewilligte Spülvorgänge im Sinne des § 48 Abs. 1 Satz 1 Nr. 1 des Gesetzes sind die vom Hauptzollamt nach § 49 Abs. 1 zugelassenen Vermischungen von leichtem Heizöl und Gasölen der Unterpositionen 2710 19 43 bis 2710 19 48 und der Unterpositionen 2710 20 11 bis 2710 20 19 der Kombinierten Nomenklatur.</w:t>
      </w:r>
    </w:p>
    <w:p>
      <w:r>
        <w:t xml:space="preserve">(2) Die Steuerentlastung nach § 48 des Gesetzes ist bei dem für den Antragsteller zuständigen Hauptzollamt mit einer Anmeldung nach amtlich vorgeschriebenem Vordruck zu beantragen, wobei im Fall der Steuerentlastung für bewilligte Spülvorgänge alle Spülvorgänge eines Entlastungsabschnitts in einer Anmeldung zusammenzufassen sind. Der Antragsteller hat in der Anmeldung alle für die Bemessung der Steuerentlastung erforderlichen Angaben zu machen und die Steuerentlastung selbst zu berechnen. Die Steuerentlastung wird nur gewährt, wenn der Antrag für Gemische, die bei bewilligten Spülvorgängen angefallen sind oder für Gemische, die versehentlich entstanden sind, spätestens bis zum Ablauf der Festsetzungsfrist im Sinne des § 169 Absatz 2 Satz 1 Nummer 1 der Abgabenordnung beim Hauptzollamt gestellt wird.</w:t>
      </w:r>
    </w:p>
    <w:p>
      <w:r>
        <w:t xml:space="preserve">(3) Entlastungsabschnitt ist im Fall der Steuerentlastung für bewilligte Spülvorgänge nach Wahl des Antragstellers ein Zeitraum von einem Kalendervierteljahr, einem Kalenderhalbjahr oder einem Kalenderjahr. Das Hauptzollamt kann auf Antrag einen Zeitraum von einem Kalendermonat als Entlastungsabschnitt zulassen. Das Wahlrecht kann einmalig für jeweils ein Kalenderjahr ausgeübt werden.</w:t>
      </w:r>
    </w:p>
    <w:p>
      <w:r>
        <w:t xml:space="preserve">(4) Dem Antrag sind Unterlagen über die Versteuerung und die Herkunft der Gemischanteile beizufügen. Das Hauptzollamt kann auf die Vorlage verzichten, soweit die Steuerbelange dadurch nicht beeinträchtigt werden.</w:t>
      </w:r>
    </w:p>
    <w:p>
      <w:r>
        <w:rPr>
          <w:color w:val="555555"/>
          <w:sz w:val="17"/>
        </w:rPr>
        <w:t xml:space="preserve">Zitiervorschlag: § 92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