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89 EnergieStV — Steuerentlastung für Kohlenwasserstoffanteile</w:t>
      </w:r>
    </w:p>
    <w:p>
      <w:r>
        <w:rPr>
          <w:color w:val="555555"/>
          <w:sz w:val="18"/>
        </w:rPr>
        <w:t xml:space="preserve">Energiesteuer-Durchführungsverordnung</w:t>
      </w:r>
    </w:p>
    <w:p>
      <w:r>
        <w:rPr>
          <w:color w:val="555555"/>
          <w:sz w:val="18"/>
        </w:rPr>
        <w:t xml:space="preserve">Stand: 01.01.2026 (konsolidierte Textfassung, kein amtliches Inkrafttretensdatum)</w:t>
      </w:r>
    </w:p>
    <w:p>
      <w:r>
        <w:t xml:space="preserve">(1) Die Steuerentlastung nach § 47 Abs. 1 Nr. 2 des Gesetzes ist bei dem für den Antragsteller zuständigen Hauptzollamt mit einer Anmeldung nach amtlich vorgeschriebenem Vordruck für alle Gemische zu beantragen, die innerhalb eines Entlastungsabschnitts verwendet oder aus denen innerhalb eines Entlastungsabschnitts Energieerzeugnisse im Sinn des § 4 des Gesetzes hergestellt worden sind. Der Antragsteller hat in der Anmeldung alle für die Bemessung der Steuerentlastung erforderlichen Angaben zu machen und die Steuerentlastung selbst zu berechnen. Die Steuerentlastung wird nur gewährt, wenn der Antrag spätestens bis zum Ablauf der Festsetzungsfrist im Sinne des § 169 Absatz 2 Satz 1 Nummer 1 der Abgabenordnung beim Hauptzollamt gestellt wird.</w:t>
      </w:r>
    </w:p>
    <w:p>
      <w:r>
        <w:t xml:space="preserve">(2) Entlastungsabschnitt ist ein Zeitraum von einem Kalendermonat. Das Hauptzollamt kann auf Antrag einen längeren Zeitraum, höchstens jedoch ein Kalenderjahr, als Entlastungsabschnitt zulassen.</w:t>
      </w:r>
    </w:p>
    <w:p>
      <w:r>
        <w:t xml:space="preserve">(3) Der Antragsteller hat einen buchmäßigen Nachweis zu führen, aus dem sich für den Entlastungsabschnitt folgende Angaben ergeben müssen:</w:t>
      </w:r>
    </w:p>
    <w:p>
      <w:pPr>
        <w:ind w:left="420"/>
      </w:pPr>
      <w:r>
        <w:t xml:space="preserve">1. im Fall des § 47 Absatz 1 Nummer 2 Buchstabe a des Gesetzes die Art, die Menge und die Herkunft der Gemische, die zu den dort genannten Zwecken verwendet worden sind,</w:t>
      </w:r>
    </w:p>
    <w:p>
      <w:pPr>
        <w:ind w:left="420"/>
      </w:pPr>
      <w:r>
        <w:t xml:space="preserve">2. im Fall des § 47 Absatz 1 Nummer 2 Buchstabe b des Gesetzes die Art, die Menge und die Herkunft der Gemische, aus denen Energieerzeugnisse im Sinne des § 4 des Gesetzes hergestellt worden sind, sowie die Art und die Menge der aus den Gemischen hergestellten Energieerzeugnisse.</w:t>
      </w:r>
    </w:p>
    <w:p>
      <w:r>
        <w:t xml:space="preserve">Abweichend von Satz 1 sind belegmäßige Nachweise anstelle des buchmäßigen Nachweises ausreichend, wenn die Steuerbelange dadurch nicht beeinträchtigt werden. Satz 2 gilt nicht für Antragsteller, die nach dem Handelsgesetzbuch oder der Abgabenordnung dazu verpflichtet sind, ordnungsmäßig kaufmännische Bücher zu führen und rechtzeitig Jahresabschlüsse aufzustellen.</w:t>
      </w:r>
    </w:p>
    <w:p>
      <w:r>
        <w:t xml:space="preserve">(4) Die Generalzolldirektion kann zur steuerlichen Vereinfachung im Verwaltungswege pauschale Sätze für die in den gasförmigen Gemischen enthaltenen Kohlenwasserstoffanteile festlegen und veröffentlicht das Ergebnis auf www.zoll.de.</w:t>
      </w:r>
    </w:p>
    <w:p>
      <w:r>
        <w:rPr>
          <w:color w:val="555555"/>
          <w:sz w:val="17"/>
        </w:rPr>
        <w:t xml:space="preserve">Zitiervorschlag: § 89 EnergieStV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https://recht.nulegal.eu/gesetze/EnergieStV/89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