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EnergieStV — Steuerentlastung bei Aufnahme in Steuerlager</w:t>
      </w:r>
    </w:p>
    <w:p>
      <w:r>
        <w:rPr>
          <w:color w:val="555555"/>
          <w:sz w:val="18"/>
        </w:rPr>
        <w:t xml:space="preserve">Energiesteuer-Durchführungsverordnung</w:t>
      </w:r>
    </w:p>
    <w:p>
      <w:r>
        <w:rPr>
          <w:color w:val="555555"/>
          <w:sz w:val="18"/>
        </w:rPr>
        <w:t xml:space="preserve">Stand: 01.01.2025 (konsolidierte Textfassung, kein amtliches Inkrafttretensdatum)</w:t>
      </w:r>
    </w:p>
    <w:p>
      <w:r>
        <w:t xml:space="preserve">(1) Die Steuerentlastung nach § 47 Abs. 1 Nr. 1 des Gesetzes ist bei dem für den Antragsteller zuständigen Hauptzollamt mit einer Anmeldung nach amtlich vorgeschriebenem Vordruck für alle Energieerzeugnisse zu beantragen, die innerhalb eines Entlastungsabschnitts in das Steuerlager aufgenommen worden sind. Der Antragsteller hat in der Anmeldung alle für die Bemessung der Steuerentlastung erforderlichen Angaben zu machen und die Steuerentlastung selbst zu berechnen. Die Steuerentlastung wird nur gewährt, wenn der Antrag spätestens bis zum Ablauf der Festsetzungsfrist im Sinne des § 169 Absatz 2 Satz 1 Nummer 1 der Abgabenordnung beim Hauptzollamt gestellt wird.</w:t>
      </w:r>
    </w:p>
    <w:p>
      <w:r>
        <w:t xml:space="preserve">(2) Entlastungsabschnitt ist ein Zeitraum von einem Kalendermonat. Das Hauptzollamt kann auf Antrag einen längeren Zeitraum, höchstens jedoch ein Kalenderjahr, als Entlastungsabschnitt zulassen.</w:t>
      </w:r>
    </w:p>
    <w:p>
      <w:r>
        <w:t xml:space="preserve">(3) Der Entlastungsberechtigte hat auf Verlangen des Hauptzollamts über die einzelnen Mengen an versteuerten, nicht gebrauchten Energieerzeugnissen, die in das Steuerlager aufgenommen werden, besondere Aufzeichnungen zu führen.</w:t>
      </w:r>
    </w:p>
    <w:p>
      <w:r>
        <w:rPr>
          <w:color w:val="555555"/>
          <w:sz w:val="17"/>
        </w:rPr>
        <w:t xml:space="preserve">Zitiervorschlag: § 88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