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EnergieStV — Steuerentlastung beim Verbringen aus dem Steuergebiet</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46 des Gesetzes ist bei dem für den Antragsteller zuständigen Hauptzollamt mit einer Anmeldung nach amtlich vorgeschriebenem Vordruck für alle Energieerzeugnisse zu beantragen, die innerhalb eines Entlastungsabschnitts aus dem Steuergebiet verbracht oder ausgeführt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Im Fall des § 46 Absatz 1 Satz 1 Nummer 1 in Verbindung mit § 46 Absatz 2 des Gesetzes hat der Antragsteller, ausgenommen im Versandhandel, dem Antrag einen Ausdruck der Eingangsmeldung des vereinfachten elektronischen Verwaltungsdokuments als Nachweis nach § 46 Absatz 2 Nummer 2 des Gesetzes beizufügen. In den Fällen, in denen keine Eingangsmeldung abgegeben wurde, kann ein Ersatznachweis nach § 38g Absatz 2 als hinreichender Nachweis anerkannt werden. In den Fällen des § 46 Absatz 2 Satz 1 Nummer 1 des Gesetzes ist der Versteuerungsnachweis des anderen Mitgliedstaats vorzulegen.</w:t>
      </w:r>
    </w:p>
    <w:p>
      <w:r>
        <w:t xml:space="preserve">(4) In den Fällen des § 46 Absatz 1 Satz 1 Nummer 2 bis 5 des Energiesteuergesetzes hat der Antragsteller das Verbringen oder die Ausfuhr durch eindeutige, leicht nachprüfbare Belege nachzuweisen.</w:t>
      </w:r>
    </w:p>
    <w:p>
      <w:r>
        <w:rPr>
          <w:color w:val="555555"/>
          <w:sz w:val="17"/>
        </w:rPr>
        <w:t xml:space="preserve">Zitiervorschlag: § 87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