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86 EnergieStV — Eigenverbrauch</w:t>
      </w:r>
    </w:p>
    <w:p>
      <w:r>
        <w:rPr>
          <w:color w:val="555555"/>
          <w:sz w:val="18"/>
        </w:rPr>
        <w:t xml:space="preserve">Energiesteuer-Durchführungsverordnung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Für die Teile des Gasgewinnungsbetriebs (§ 44 Absatz 3 des Gesetzes), in denen Energieerzeugnisse steuerfrei nach § 44 Absatz 2 des Gesetzes verwendet werden können, gilt § 59 sinngemäß.</w:t>
      </w:r>
    </w:p>
    <w:p>
      <w:r>
        <w:rPr>
          <w:color w:val="555555"/>
          <w:sz w:val="17"/>
        </w:rPr>
        <w:t xml:space="preserve">Zitiervorschlag: § 86 EnergieStV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https://recht.nulegal.eu/gesetze/EnergieStV/86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