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EnergieStV — Erteilung, Überprüfung und Erlöschen der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Das Hauptzollamt erteilt die Erlaubnis nach § 44 Absatz 1 und 1a des Gesetzes schriftlich oder elektronisch (förmliche Einzelerlaubnis) und stellt auf Antrag als Nachweis der Bezugsberechtigung einen Erlaubnisschein aus. Die Erlaubnis kann mit Nebenbestimmungen nach § 120 Absatz 2 der Abgabenordnung verbunden werden.</w:t>
      </w:r>
    </w:p>
    <w:p>
      <w:r>
        <w:t xml:space="preserve">(2) Für die Überprüfung und das Erlöschen der Erlaubnis gilt § 54 sinngemäß.</w:t>
      </w:r>
    </w:p>
    <w:p>
      <w:r>
        <w:rPr>
          <w:color w:val="555555"/>
          <w:sz w:val="17"/>
        </w:rPr>
        <w:t xml:space="preserve">Zitiervorschlag: § 84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