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EnergieStV — Vorauszahlungen</w:t>
      </w:r>
    </w:p>
    <w:p>
      <w:r>
        <w:rPr>
          <w:color w:val="555555"/>
          <w:sz w:val="18"/>
        </w:rPr>
        <w:t xml:space="preserve">Energiesteuer-Durchführungsverordnung</w:t>
      </w:r>
    </w:p>
    <w:p>
      <w:r>
        <w:rPr>
          <w:color w:val="555555"/>
          <w:sz w:val="18"/>
        </w:rPr>
        <w:t xml:space="preserve">Stand: 01.01.2026 (konsolidierte Textfassung, kein amtliches Inkrafttretensdatum)</w:t>
      </w:r>
    </w:p>
    <w:p>
      <w:r>
        <w:t xml:space="preserve">(1) Die Festsetzung der Vorauszahlungen erfolgt durch Vorauszahlungsbescheid. Die Mitteilungen der Schätzungen nach § 39 Absatz 5 des Energiesteuergesetzes sind schriftlich nach amtlich vorgeschriebenem Vordruck vorzunehmen. Ist eine Steuer bislang noch nicht oder erstmals entstanden, ist die voraussichtliche Jahressteuerschuld für das Veranlagungsjahr maßgebend. Kann die voraussichtliche Jahressteuerschuld nicht auf zwölf monatliche Vorauszahlungen festgesetzt werden, so sind die fehlenden monatlichen Vorauszahlungen für die erste monatliche Vorauszahlung festzusetzen.</w:t>
      </w:r>
    </w:p>
    <w:p>
      <w:r>
        <w:t xml:space="preserve">(2) Das Hauptzollamt kann auf Antrag bei der Festsetzung der Höhe der Vorauszahlungen dem Steuerschuldner voraussichtlich im gleichen Zeitraum zu gewährende Steuerentlastungen berücksichtigen, soweit die Steuerbelange dadurch nicht gefährdet sind. Satz 1 gilt nur dann, wenn der Entlastungsabschnitt das Kalenderjahr ist, die Festsetzung der zu entlastenden Steuer nicht vor der Festsetzung der Jahressteuerschuld erfolgt und wenn in den Fällen des</w:t>
      </w:r>
    </w:p>
    <w:p>
      <w:pPr>
        <w:ind w:left="420"/>
      </w:pPr>
      <w:r>
        <w:t xml:space="preserve">1. § 51 Absatz 1 Nummer 1 des Gesetzes</w:t>
      </w:r>
    </w:p>
    <w:p>
      <w:pPr>
        <w:ind w:left="780"/>
      </w:pPr>
      <w:r>
        <w:t xml:space="preserve">a) sich der maßgebende Zeitraum für die Zuordnung des Unternehmens zum Produzierenden Gewerbe nach § 15 Absatz 3 Satz 1 der Stromsteuer-Durchführungsverordnung bestimmt und</w:t>
      </w:r>
    </w:p>
    <w:p>
      <w:pPr>
        <w:ind w:left="780"/>
      </w:pPr>
      <w:r>
        <w:t xml:space="preserve">b) die nach § 95 Absatz 3 erforderliche Betriebserklärung vorgelegt worden ist und die Beschreibung der wirtschaftlichen Tätigkeiten vom Antragsteller auf Verlangen des Hauptzollamts vorgelegt wird;</w:t>
      </w:r>
    </w:p>
    <w:p>
      <w:pPr>
        <w:ind w:left="420"/>
      </w:pPr>
      <w:r>
        <w:t xml:space="preserve">2. § 53 des Gesetzes die nach § 99 Absatz 3 erforderlichen Angaben und Unterlagen vom Antragsteller bereits vorgelegt worden sind;</w:t>
      </w:r>
    </w:p>
    <w:p>
      <w:pPr>
        <w:ind w:left="420"/>
      </w:pPr>
      <w:r>
        <w:t xml:space="preserve">3. § 53a Absatz 1 oder Absatz 4 des Gesetzes</w:t>
      </w:r>
    </w:p>
    <w:p>
      <w:pPr>
        <w:ind w:left="780"/>
      </w:pPr>
      <w:r>
        <w:t xml:space="preserve">a) die nach § 99a Absatz 4 erforderlichen Angaben und Unterlagen vom Antragsteller bereits vorgelegt worden sind und</w:t>
      </w:r>
    </w:p>
    <w:p>
      <w:pPr>
        <w:ind w:left="780"/>
      </w:pPr>
      <w:r>
        <w:t xml:space="preserve">b) im Fall des § 53a Absatz 1 in Verbindung mit Absatz 3 des Gesetzes darüber hinaus sich der maßgebende Zeitraum für die Zuordnung des Unternehmens zum Produzierenden Gewerbe oder zur Land- und Forstwirtschaft nach § 15 Absatz 3 Satz 1 der Stromsteuer-Durchführungsverordnung bestimmt und die Beschreibung der wirtschaftlichen Tätigkeiten vom Antragsteller auf Verlangen des Hauptzollamts vorgelegt wird;</w:t>
      </w:r>
    </w:p>
    <w:p>
      <w:pPr>
        <w:ind w:left="420"/>
      </w:pPr>
      <w:r>
        <w:t xml:space="preserve">4. § 54 des Gesetzes</w:t>
      </w:r>
    </w:p>
    <w:p>
      <w:pPr>
        <w:ind w:left="780"/>
      </w:pPr>
      <w:r>
        <w:t xml:space="preserve">a) sich der maßgebende Zeitraum für die Zuordnung des Unternehmens zum Produzierenden Gewerbe oder zur Land- und Forstwirtschaft nach § 15 Absatz 3 Satz 1 der Stromsteuer-Durchführungsverordnung bestimmt und</w:t>
      </w:r>
    </w:p>
    <w:p>
      <w:pPr>
        <w:ind w:left="780"/>
      </w:pPr>
      <w:r>
        <w:t xml:space="preserve">b) die nach § 100 Absatz 3 erforderliche Beschreibung der wirtschaftlichen Tätigkeiten vom Antragsteller auf Verlangen des Hauptzollamts vorgelegt wird.</w:t>
      </w:r>
    </w:p>
    <w:p>
      <w:r>
        <w:t xml:space="preserve">(3) Beträgt die Höhe der monatlichen Vorauszahlungen nicht mehr als 200 Euro, wird auf die Festsetzung von Vorauszahlungen verzichtet, wenn die Steuerbelange dadurch nicht beeinträchtigt werden.</w:t>
      </w:r>
    </w:p>
    <w:p>
      <w:r>
        <w:rPr>
          <w:color w:val="555555"/>
          <w:sz w:val="17"/>
        </w:rPr>
        <w:t xml:space="preserve">Zitiervorschlag: § 80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